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34"/>
        <w:gridCol w:w="7"/>
        <w:gridCol w:w="2499"/>
      </w:tblGrid>
      <w:tr w:rsidR="001658FA" w14:paraId="698141F8" w14:textId="77777777">
        <w:tc>
          <w:tcPr>
            <w:tcW w:w="0" w:type="auto"/>
            <w:tcBorders>
              <w:top w:val="none" w:sz="0" w:space="0" w:color="FFFFFF"/>
              <w:left w:val="none" w:sz="0" w:space="0" w:color="FFFFFF"/>
              <w:bottom w:val="none" w:sz="0" w:space="0" w:color="FFFFFF"/>
              <w:right w:val="none" w:sz="0" w:space="0" w:color="FFFFFF"/>
            </w:tcBorders>
            <w:shd w:val="clear" w:color="auto" w:fill="080F14"/>
            <w:tcMar>
              <w:top w:w="500" w:type="dxa"/>
              <w:left w:w="500" w:type="dxa"/>
              <w:bottom w:w="500" w:type="dxa"/>
              <w:right w:w="260" w:type="dxa"/>
            </w:tcMar>
          </w:tcPr>
          <w:p w14:paraId="24BE6E51" w14:textId="77777777" w:rsidR="001658FA" w:rsidRDefault="00000000">
            <w:pPr>
              <w:spacing w:after="20"/>
            </w:pPr>
            <w:r>
              <w:rPr>
                <w:b/>
                <w:bCs/>
                <w:color w:val="13B5A7"/>
                <w:sz w:val="56"/>
                <w:szCs w:val="56"/>
              </w:rPr>
              <w:t>FRAUD DETECTION</w:t>
            </w:r>
          </w:p>
          <w:p w14:paraId="389AD6A5" w14:textId="77777777" w:rsidR="001658FA" w:rsidRDefault="00000000">
            <w:pPr>
              <w:spacing w:after="20"/>
            </w:pPr>
            <w:r>
              <w:rPr>
                <w:b/>
                <w:bCs/>
                <w:color w:val="FFFFFF"/>
                <w:sz w:val="56"/>
                <w:szCs w:val="56"/>
              </w:rPr>
              <w:t>MONITORING</w:t>
            </w:r>
          </w:p>
          <w:p w14:paraId="27293AC7" w14:textId="77777777" w:rsidR="001658FA" w:rsidRDefault="00000000">
            <w:pPr>
              <w:spacing w:after="280"/>
            </w:pPr>
            <w:r>
              <w:rPr>
                <w:b/>
                <w:bCs/>
                <w:color w:val="FFFFFF"/>
                <w:sz w:val="56"/>
                <w:szCs w:val="56"/>
              </w:rPr>
              <w:t>DASHBOARD</w:t>
            </w:r>
          </w:p>
          <w:p w14:paraId="73C0BF07" w14:textId="77777777" w:rsidR="001658FA" w:rsidRDefault="001658FA">
            <w:pPr>
              <w:pBdr>
                <w:bottom w:val="single" w:sz="12" w:space="1" w:color="13B5A7"/>
              </w:pBdr>
            </w:pPr>
          </w:p>
          <w:p w14:paraId="446D6E79" w14:textId="77777777" w:rsidR="001658FA" w:rsidRDefault="001658FA">
            <w:pPr>
              <w:spacing w:after="120"/>
            </w:pPr>
          </w:p>
          <w:p w14:paraId="3533E668" w14:textId="77777777" w:rsidR="001658FA" w:rsidRDefault="00000000">
            <w:pPr>
              <w:spacing w:after="80"/>
            </w:pPr>
            <w:r>
              <w:rPr>
                <w:color w:val="C8D8D6"/>
              </w:rPr>
              <w:t>Power BI Dashboard Portfolio Project</w:t>
            </w:r>
          </w:p>
          <w:p w14:paraId="231B0471" w14:textId="77777777" w:rsidR="001658FA" w:rsidRDefault="001658FA">
            <w:pPr>
              <w:spacing w:after="80"/>
            </w:pPr>
          </w:p>
          <w:p w14:paraId="5E8622AA" w14:textId="77777777" w:rsidR="001658FA" w:rsidRDefault="00000000">
            <w:pPr>
              <w:spacing w:after="70"/>
            </w:pPr>
            <w:r>
              <w:rPr>
                <w:b/>
                <w:bCs/>
                <w:color w:val="13B5A7"/>
                <w:sz w:val="21"/>
                <w:szCs w:val="21"/>
              </w:rPr>
              <w:t xml:space="preserve">Author:       </w:t>
            </w:r>
            <w:r>
              <w:rPr>
                <w:color w:val="FFFFFF"/>
                <w:sz w:val="21"/>
                <w:szCs w:val="21"/>
              </w:rPr>
              <w:t>Moreen Gatwiri</w:t>
            </w:r>
          </w:p>
          <w:p w14:paraId="5AECB5C3" w14:textId="77777777" w:rsidR="001658FA" w:rsidRDefault="00000000">
            <w:pPr>
              <w:spacing w:after="70"/>
            </w:pPr>
            <w:r>
              <w:rPr>
                <w:b/>
                <w:bCs/>
                <w:color w:val="13B5A7"/>
                <w:sz w:val="21"/>
                <w:szCs w:val="21"/>
              </w:rPr>
              <w:t xml:space="preserve">Tool:           </w:t>
            </w:r>
            <w:r>
              <w:rPr>
                <w:color w:val="FFFFFF"/>
                <w:sz w:val="21"/>
                <w:szCs w:val="21"/>
              </w:rPr>
              <w:t>Microsoft Power BI Desktop</w:t>
            </w:r>
          </w:p>
          <w:p w14:paraId="4605EA28" w14:textId="6BC756C2" w:rsidR="001658FA" w:rsidRDefault="00000000">
            <w:pPr>
              <w:spacing w:after="70"/>
            </w:pPr>
            <w:r>
              <w:rPr>
                <w:b/>
                <w:bCs/>
                <w:color w:val="13B5A7"/>
                <w:sz w:val="21"/>
                <w:szCs w:val="21"/>
              </w:rPr>
              <w:t xml:space="preserve">Data Source: </w:t>
            </w:r>
            <w:r w:rsidR="00A65BF3">
              <w:rPr>
                <w:color w:val="FFFFFF"/>
                <w:sz w:val="21"/>
                <w:szCs w:val="21"/>
              </w:rPr>
              <w:t>MySQL, fraud</w:t>
            </w:r>
            <w:r>
              <w:rPr>
                <w:color w:val="FFFFFF"/>
                <w:sz w:val="21"/>
                <w:szCs w:val="21"/>
              </w:rPr>
              <w:t>_detection_system</w:t>
            </w:r>
          </w:p>
          <w:p w14:paraId="6BF4E515" w14:textId="77777777" w:rsidR="001658FA" w:rsidRDefault="00000000">
            <w:r>
              <w:rPr>
                <w:b/>
                <w:bCs/>
                <w:color w:val="13B5A7"/>
                <w:sz w:val="21"/>
                <w:szCs w:val="21"/>
              </w:rPr>
              <w:t xml:space="preserve">Domain:      </w:t>
            </w:r>
            <w:r>
              <w:rPr>
                <w:color w:val="FFFFFF"/>
                <w:sz w:val="21"/>
                <w:szCs w:val="21"/>
              </w:rPr>
              <w:t>Financial Crime &amp; Risk Analytics</w:t>
            </w:r>
          </w:p>
        </w:tc>
        <w:tc>
          <w:tcPr>
            <w:tcW w:w="0" w:type="auto"/>
            <w:tcBorders>
              <w:top w:val="none" w:sz="0" w:space="0" w:color="FFFFFF"/>
              <w:left w:val="none" w:sz="0" w:space="0" w:color="FFFFFF"/>
              <w:bottom w:val="none" w:sz="0" w:space="0" w:color="FFFFFF"/>
              <w:right w:val="none" w:sz="0" w:space="0" w:color="FFFFFF"/>
            </w:tcBorders>
            <w:shd w:val="clear" w:color="auto" w:fill="13B5A7"/>
            <w:tcMar>
              <w:top w:w="0" w:type="dxa"/>
              <w:left w:w="0" w:type="dxa"/>
              <w:bottom w:w="0" w:type="dxa"/>
              <w:right w:w="0" w:type="dxa"/>
            </w:tcMar>
          </w:tcPr>
          <w:p w14:paraId="2D054DB1" w14:textId="77777777" w:rsidR="001658FA" w:rsidRDefault="001658FA"/>
        </w:tc>
        <w:tc>
          <w:tcPr>
            <w:tcW w:w="0" w:type="auto"/>
            <w:tcBorders>
              <w:top w:val="none" w:sz="0" w:space="0" w:color="FFFFFF"/>
              <w:left w:val="none" w:sz="0" w:space="0" w:color="FFFFFF"/>
              <w:bottom w:val="none" w:sz="0" w:space="0" w:color="FFFFFF"/>
              <w:right w:val="none" w:sz="0" w:space="0" w:color="FFFFFF"/>
            </w:tcBorders>
            <w:shd w:val="clear" w:color="auto" w:fill="0A3D3A"/>
            <w:tcMar>
              <w:top w:w="360" w:type="dxa"/>
              <w:left w:w="220" w:type="dxa"/>
              <w:bottom w:w="360" w:type="dxa"/>
              <w:right w:w="260" w:type="dxa"/>
            </w:tcMar>
            <w:vAlign w:val="center"/>
          </w:tcPr>
          <w:p w14:paraId="3F824AE7" w14:textId="77777777" w:rsidR="001658FA" w:rsidRDefault="00000000">
            <w:pPr>
              <w:spacing w:after="60"/>
              <w:jc w:val="center"/>
            </w:pPr>
            <w:r>
              <w:rPr>
                <w:rFonts w:ascii="Segoe UI Emoji" w:eastAsia="Segoe UI Emoji" w:hAnsi="Segoe UI Emoji" w:cs="Segoe UI Emoji"/>
                <w:sz w:val="80"/>
                <w:szCs w:val="80"/>
              </w:rPr>
              <w:t>📊</w:t>
            </w:r>
          </w:p>
          <w:p w14:paraId="04806453" w14:textId="77777777" w:rsidR="001658FA" w:rsidRDefault="00000000">
            <w:pPr>
              <w:spacing w:after="20"/>
              <w:jc w:val="center"/>
            </w:pPr>
            <w:r>
              <w:rPr>
                <w:b/>
                <w:bCs/>
                <w:color w:val="FFFFFF"/>
                <w:sz w:val="96"/>
                <w:szCs w:val="96"/>
              </w:rPr>
              <w:t>3</w:t>
            </w:r>
          </w:p>
          <w:p w14:paraId="4C9586EA" w14:textId="77777777" w:rsidR="001658FA" w:rsidRDefault="00000000">
            <w:pPr>
              <w:spacing w:after="160"/>
              <w:jc w:val="center"/>
            </w:pPr>
            <w:r>
              <w:rPr>
                <w:color w:val="C8D8D6"/>
                <w:sz w:val="20"/>
                <w:szCs w:val="20"/>
              </w:rPr>
              <w:t>Dashboard Pages</w:t>
            </w:r>
          </w:p>
          <w:p w14:paraId="1F6592C8" w14:textId="77777777" w:rsidR="001658FA" w:rsidRDefault="00000000">
            <w:pPr>
              <w:spacing w:after="20"/>
              <w:jc w:val="center"/>
            </w:pPr>
            <w:r>
              <w:rPr>
                <w:b/>
                <w:bCs/>
                <w:color w:val="FFFFFF"/>
                <w:sz w:val="72"/>
                <w:szCs w:val="72"/>
              </w:rPr>
              <w:t>6</w:t>
            </w:r>
          </w:p>
          <w:p w14:paraId="16BCB8FB" w14:textId="77777777" w:rsidR="001658FA" w:rsidRDefault="00000000">
            <w:pPr>
              <w:spacing w:after="160"/>
              <w:jc w:val="center"/>
            </w:pPr>
            <w:r>
              <w:rPr>
                <w:color w:val="C8D8D6"/>
                <w:sz w:val="20"/>
                <w:szCs w:val="20"/>
              </w:rPr>
              <w:t>DAX Measures</w:t>
            </w:r>
          </w:p>
          <w:p w14:paraId="6111431B" w14:textId="77777777" w:rsidR="001658FA" w:rsidRDefault="00000000">
            <w:pPr>
              <w:spacing w:after="20"/>
              <w:jc w:val="center"/>
            </w:pPr>
            <w:r>
              <w:rPr>
                <w:b/>
                <w:bCs/>
                <w:color w:val="FFFFFF"/>
                <w:sz w:val="72"/>
                <w:szCs w:val="72"/>
              </w:rPr>
              <w:t>4</w:t>
            </w:r>
          </w:p>
          <w:p w14:paraId="6E485F69" w14:textId="77777777" w:rsidR="001658FA" w:rsidRDefault="00000000">
            <w:pPr>
              <w:jc w:val="center"/>
            </w:pPr>
            <w:r>
              <w:rPr>
                <w:color w:val="C8D8D6"/>
                <w:sz w:val="20"/>
                <w:szCs w:val="20"/>
              </w:rPr>
              <w:t>SQL Views Used</w:t>
            </w:r>
          </w:p>
        </w:tc>
      </w:tr>
    </w:tbl>
    <w:p w14:paraId="1ECCA6A1" w14:textId="77777777" w:rsidR="001658FA" w:rsidRDefault="001658FA">
      <w:pPr>
        <w:spacing w:after="20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0"/>
      </w:tblGrid>
      <w:tr w:rsidR="001658FA" w14:paraId="218BE7AE" w14:textId="77777777">
        <w:tc>
          <w:tcPr>
            <w:tcW w:w="0" w:type="auto"/>
            <w:tcBorders>
              <w:top w:val="single" w:sz="8" w:space="0" w:color="E8892A"/>
              <w:left w:val="single" w:sz="28" w:space="0" w:color="E8892A"/>
              <w:bottom w:val="single" w:sz="8" w:space="0" w:color="E8892A"/>
              <w:right w:val="single" w:sz="4" w:space="0" w:color="E8892A"/>
            </w:tcBorders>
            <w:shd w:val="clear" w:color="auto" w:fill="FEF6EC"/>
            <w:tcMar>
              <w:top w:w="180" w:type="dxa"/>
              <w:left w:w="280" w:type="dxa"/>
              <w:bottom w:w="180" w:type="dxa"/>
              <w:right w:w="280" w:type="dxa"/>
            </w:tcMar>
          </w:tcPr>
          <w:p w14:paraId="2C2138AB" w14:textId="0A3F597B" w:rsidR="001658FA" w:rsidRDefault="00A65BF3">
            <w:pPr>
              <w:spacing w:after="100"/>
            </w:pPr>
            <w:r>
              <w:rPr>
                <w:rFonts w:ascii="Segoe UI Emoji" w:hAnsi="Segoe UI Emoji" w:cs="Segoe UI Emoji"/>
                <w:b/>
                <w:bCs/>
                <w:color w:val="E8892A"/>
                <w:sz w:val="24"/>
                <w:szCs w:val="24"/>
              </w:rPr>
              <w:t>📋</w:t>
            </w:r>
            <w:r>
              <w:rPr>
                <w:b/>
                <w:bCs/>
                <w:color w:val="E8892A"/>
                <w:sz w:val="24"/>
                <w:szCs w:val="24"/>
              </w:rPr>
              <w:t xml:space="preserve"> Executive</w:t>
            </w:r>
            <w:r w:rsidR="00000000">
              <w:rPr>
                <w:b/>
                <w:bCs/>
                <w:color w:val="E8892A"/>
                <w:sz w:val="24"/>
                <w:szCs w:val="24"/>
              </w:rPr>
              <w:t xml:space="preserve"> Summary</w:t>
            </w:r>
          </w:p>
          <w:p w14:paraId="1187CB38" w14:textId="66DB07AC" w:rsidR="001658FA" w:rsidRDefault="00000000">
            <w:r>
              <w:rPr>
                <w:sz w:val="20"/>
                <w:szCs w:val="20"/>
              </w:rPr>
              <w:t>This project connects Microsoft Power BI Desktop directly to a MySQL fraud detection database to build an interactive, three-page monitoring dashboard. Using DAX measures, conditional formatting, and SQL views as data sources, the dashboard enables financial institutions to monitor transaction risk, detect suspicious activity, and track customer risk profiles</w:t>
            </w:r>
            <w:r w:rsidR="00A65BF3">
              <w:rPr>
                <w:sz w:val="20"/>
                <w:szCs w:val="20"/>
              </w:rPr>
              <w:t xml:space="preserve">, </w:t>
            </w:r>
            <w:r>
              <w:rPr>
                <w:sz w:val="20"/>
                <w:szCs w:val="20"/>
              </w:rPr>
              <w:t>all in real time through a single interactive interface.</w:t>
            </w:r>
          </w:p>
        </w:tc>
      </w:tr>
    </w:tbl>
    <w:p w14:paraId="0F43CADE" w14:textId="77777777" w:rsidR="001658FA" w:rsidRDefault="00000000">
      <w:r>
        <w:br w:type="page"/>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
        <w:gridCol w:w="9827"/>
      </w:tblGrid>
      <w:tr w:rsidR="001658FA" w14:paraId="315C8582" w14:textId="77777777">
        <w:tc>
          <w:tcPr>
            <w:tcW w:w="0" w:type="auto"/>
            <w:tcBorders>
              <w:top w:val="none" w:sz="0" w:space="0" w:color="FFFFFF"/>
              <w:left w:val="none" w:sz="0" w:space="0" w:color="FFFFFF"/>
              <w:bottom w:val="none" w:sz="0" w:space="0" w:color="FFFFFF"/>
              <w:right w:val="none" w:sz="0" w:space="0" w:color="FFFFFF"/>
            </w:tcBorders>
            <w:shd w:val="clear" w:color="auto" w:fill="13B5A7"/>
            <w:tcMar>
              <w:top w:w="0" w:type="dxa"/>
              <w:left w:w="0" w:type="dxa"/>
              <w:bottom w:w="0" w:type="dxa"/>
              <w:right w:w="0" w:type="dxa"/>
            </w:tcMar>
          </w:tcPr>
          <w:p w14:paraId="36CA5328" w14:textId="77777777" w:rsidR="001658FA" w:rsidRDefault="001658FA"/>
        </w:tc>
        <w:tc>
          <w:tcPr>
            <w:tcW w:w="0" w:type="auto"/>
            <w:tcBorders>
              <w:top w:val="none" w:sz="0" w:space="0" w:color="FFFFFF"/>
              <w:left w:val="none" w:sz="0" w:space="0" w:color="FFFFFF"/>
              <w:bottom w:val="none" w:sz="0" w:space="0" w:color="FFFFFF"/>
              <w:right w:val="none" w:sz="0" w:space="0" w:color="FFFFFF"/>
            </w:tcBorders>
            <w:shd w:val="clear" w:color="auto" w:fill="0A3D3A"/>
            <w:tcMar>
              <w:top w:w="160" w:type="dxa"/>
              <w:left w:w="280" w:type="dxa"/>
              <w:bottom w:w="160" w:type="dxa"/>
              <w:right w:w="200" w:type="dxa"/>
            </w:tcMar>
          </w:tcPr>
          <w:p w14:paraId="0AE4FB54" w14:textId="77777777" w:rsidR="001658FA" w:rsidRDefault="00000000">
            <w:pPr>
              <w:spacing w:after="40"/>
            </w:pPr>
            <w:r>
              <w:rPr>
                <w:b/>
                <w:bCs/>
                <w:color w:val="13B5A7"/>
                <w:sz w:val="16"/>
                <w:szCs w:val="16"/>
              </w:rPr>
              <w:t>SECTION 01</w:t>
            </w:r>
          </w:p>
          <w:p w14:paraId="0D8A782C" w14:textId="77777777" w:rsidR="001658FA" w:rsidRDefault="00000000">
            <w:pPr>
              <w:spacing w:after="40"/>
            </w:pPr>
            <w:r>
              <w:rPr>
                <w:b/>
                <w:bCs/>
                <w:color w:val="FFFFFF"/>
                <w:sz w:val="32"/>
                <w:szCs w:val="32"/>
              </w:rPr>
              <w:t>PROJECT OVERVIEW</w:t>
            </w:r>
          </w:p>
          <w:p w14:paraId="1430DB5F" w14:textId="77777777" w:rsidR="001658FA" w:rsidRDefault="00000000">
            <w:r>
              <w:rPr>
                <w:i/>
                <w:iCs/>
                <w:color w:val="C8D8D6"/>
                <w:sz w:val="19"/>
                <w:szCs w:val="19"/>
              </w:rPr>
              <w:t>Business context, objectives and technical setup</w:t>
            </w:r>
          </w:p>
        </w:tc>
      </w:tr>
    </w:tbl>
    <w:p w14:paraId="457A9655" w14:textId="77777777" w:rsidR="001658FA" w:rsidRDefault="001658FA">
      <w:pPr>
        <w:spacing w:after="16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0"/>
      </w:tblGrid>
      <w:tr w:rsidR="001658FA" w14:paraId="35A7A02F" w14:textId="77777777">
        <w:tc>
          <w:tcPr>
            <w:tcW w:w="0" w:type="auto"/>
            <w:tcBorders>
              <w:top w:val="none" w:sz="0" w:space="0" w:color="FFFFFF"/>
              <w:left w:val="none" w:sz="0" w:space="0" w:color="FFFFFF"/>
              <w:bottom w:val="none" w:sz="0" w:space="0" w:color="FFFFFF"/>
              <w:right w:val="none" w:sz="0" w:space="0" w:color="FFFFFF"/>
            </w:tcBorders>
            <w:shd w:val="clear" w:color="auto" w:fill="0D5C55"/>
            <w:tcMar>
              <w:top w:w="80" w:type="dxa"/>
              <w:left w:w="200" w:type="dxa"/>
              <w:bottom w:w="80" w:type="dxa"/>
              <w:right w:w="200" w:type="dxa"/>
            </w:tcMar>
          </w:tcPr>
          <w:p w14:paraId="0AE60702" w14:textId="0E35889B" w:rsidR="001658FA" w:rsidRDefault="00A65BF3">
            <w:r>
              <w:rPr>
                <w:rFonts w:ascii="Segoe UI Emoji" w:hAnsi="Segoe UI Emoji" w:cs="Segoe UI Emoji"/>
                <w:b/>
                <w:bCs/>
                <w:color w:val="FFFFFF"/>
                <w:sz w:val="20"/>
                <w:szCs w:val="20"/>
              </w:rPr>
              <w:t>📌</w:t>
            </w:r>
            <w:r>
              <w:rPr>
                <w:b/>
                <w:bCs/>
                <w:color w:val="FFFFFF"/>
                <w:sz w:val="20"/>
                <w:szCs w:val="20"/>
              </w:rPr>
              <w:t xml:space="preserve"> Business</w:t>
            </w:r>
            <w:r w:rsidR="00000000">
              <w:rPr>
                <w:b/>
                <w:bCs/>
                <w:color w:val="FFFFFF"/>
                <w:sz w:val="20"/>
                <w:szCs w:val="20"/>
              </w:rPr>
              <w:t xml:space="preserve"> Context</w:t>
            </w:r>
          </w:p>
        </w:tc>
      </w:tr>
      <w:tr w:rsidR="001658FA" w14:paraId="24F60E17" w14:textId="77777777">
        <w:tc>
          <w:tcPr>
            <w:tcW w:w="0" w:type="auto"/>
            <w:tcBorders>
              <w:top w:val="none" w:sz="0" w:space="0" w:color="FFFFFF"/>
              <w:left w:val="single" w:sz="4" w:space="0" w:color="0D5C55"/>
              <w:bottom w:val="single" w:sz="4" w:space="0" w:color="0D5C55"/>
              <w:right w:val="single" w:sz="4" w:space="0" w:color="0D5C55"/>
            </w:tcBorders>
            <w:shd w:val="clear" w:color="auto" w:fill="E0F7FA"/>
            <w:tcMar>
              <w:top w:w="140" w:type="dxa"/>
              <w:left w:w="200" w:type="dxa"/>
              <w:bottom w:w="140" w:type="dxa"/>
              <w:right w:w="200" w:type="dxa"/>
            </w:tcMar>
          </w:tcPr>
          <w:p w14:paraId="7AB8F759" w14:textId="7C0EDC7B" w:rsidR="001658FA" w:rsidRDefault="00000000">
            <w:pPr>
              <w:spacing w:after="80"/>
            </w:pPr>
            <w:r>
              <w:rPr>
                <w:sz w:val="20"/>
                <w:szCs w:val="20"/>
              </w:rPr>
              <w:t>Financial institutions need real-time visibility into transaction activity to detect fraud early. Without structured monitoring tools, suspicious patterns</w:t>
            </w:r>
            <w:r w:rsidR="00A65BF3">
              <w:rPr>
                <w:sz w:val="20"/>
                <w:szCs w:val="20"/>
              </w:rPr>
              <w:t xml:space="preserve">, </w:t>
            </w:r>
            <w:r>
              <w:rPr>
                <w:sz w:val="20"/>
                <w:szCs w:val="20"/>
              </w:rPr>
              <w:t>high-value transfers, rapid transaction sequences, and high-risk customer activity can go undetected until significant losses occur. This project demonstrates how Power BI can be connected directly to a MySQL database to deliver an interactive, real-time fraud monitoring solution.</w:t>
            </w:r>
          </w:p>
        </w:tc>
      </w:tr>
    </w:tbl>
    <w:p w14:paraId="0E874C78" w14:textId="77777777" w:rsidR="001658FA" w:rsidRDefault="001658FA">
      <w:pPr>
        <w:spacing w:after="16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0"/>
      </w:tblGrid>
      <w:tr w:rsidR="001658FA" w14:paraId="03299BD8" w14:textId="77777777">
        <w:tc>
          <w:tcPr>
            <w:tcW w:w="0" w:type="auto"/>
            <w:tcBorders>
              <w:top w:val="none" w:sz="0" w:space="0" w:color="FFFFFF"/>
              <w:left w:val="none" w:sz="0" w:space="0" w:color="FFFFFF"/>
              <w:bottom w:val="none" w:sz="0" w:space="0" w:color="FFFFFF"/>
              <w:right w:val="none" w:sz="0" w:space="0" w:color="FFFFFF"/>
            </w:tcBorders>
            <w:shd w:val="clear" w:color="auto" w:fill="10847A"/>
            <w:tcMar>
              <w:top w:w="80" w:type="dxa"/>
              <w:left w:w="200" w:type="dxa"/>
              <w:bottom w:w="80" w:type="dxa"/>
              <w:right w:w="200" w:type="dxa"/>
            </w:tcMar>
          </w:tcPr>
          <w:p w14:paraId="778D4F56" w14:textId="6A2C2D4B" w:rsidR="001658FA" w:rsidRDefault="00A65BF3">
            <w:r>
              <w:rPr>
                <w:rFonts w:ascii="Segoe UI Emoji" w:hAnsi="Segoe UI Emoji" w:cs="Segoe UI Emoji"/>
                <w:b/>
                <w:bCs/>
                <w:color w:val="FFFFFF"/>
                <w:sz w:val="20"/>
                <w:szCs w:val="20"/>
              </w:rPr>
              <w:t>🎯</w:t>
            </w:r>
            <w:r>
              <w:rPr>
                <w:b/>
                <w:bCs/>
                <w:color w:val="FFFFFF"/>
                <w:sz w:val="20"/>
                <w:szCs w:val="20"/>
              </w:rPr>
              <w:t xml:space="preserve"> Project</w:t>
            </w:r>
            <w:r w:rsidR="00000000">
              <w:rPr>
                <w:b/>
                <w:bCs/>
                <w:color w:val="FFFFFF"/>
                <w:sz w:val="20"/>
                <w:szCs w:val="20"/>
              </w:rPr>
              <w:t xml:space="preserve"> Objectives</w:t>
            </w:r>
          </w:p>
        </w:tc>
      </w:tr>
      <w:tr w:rsidR="001658FA" w14:paraId="27D89E28" w14:textId="77777777">
        <w:tc>
          <w:tcPr>
            <w:tcW w:w="0" w:type="auto"/>
            <w:tcBorders>
              <w:top w:val="none" w:sz="0" w:space="0" w:color="FFFFFF"/>
              <w:left w:val="single" w:sz="4" w:space="0" w:color="10847A"/>
              <w:bottom w:val="single" w:sz="4" w:space="0" w:color="10847A"/>
              <w:right w:val="single" w:sz="4" w:space="0" w:color="10847A"/>
            </w:tcBorders>
            <w:shd w:val="clear" w:color="auto" w:fill="EDF3F2"/>
            <w:tcMar>
              <w:top w:w="140" w:type="dxa"/>
              <w:left w:w="200" w:type="dxa"/>
              <w:bottom w:w="140" w:type="dxa"/>
              <w:right w:w="200" w:type="dxa"/>
            </w:tcMar>
          </w:tcPr>
          <w:p w14:paraId="6E4C5BD9" w14:textId="17729C01" w:rsidR="001658FA" w:rsidRDefault="00A65BF3">
            <w:pPr>
              <w:pStyle w:val="ListParagraph"/>
              <w:numPr>
                <w:ilvl w:val="0"/>
                <w:numId w:val="2"/>
              </w:numPr>
              <w:spacing w:after="80"/>
            </w:pPr>
            <w:r>
              <w:rPr>
                <w:sz w:val="20"/>
                <w:szCs w:val="20"/>
              </w:rPr>
              <w:t>Visualize</w:t>
            </w:r>
            <w:r w:rsidR="00000000">
              <w:rPr>
                <w:sz w:val="20"/>
                <w:szCs w:val="20"/>
              </w:rPr>
              <w:t xml:space="preserve"> fraud risk indicators directly from MySQL database data</w:t>
            </w:r>
          </w:p>
          <w:p w14:paraId="026C7E63" w14:textId="77777777" w:rsidR="001658FA" w:rsidRDefault="00000000">
            <w:pPr>
              <w:pStyle w:val="ListParagraph"/>
              <w:numPr>
                <w:ilvl w:val="0"/>
                <w:numId w:val="2"/>
              </w:numPr>
              <w:spacing w:after="80"/>
            </w:pPr>
            <w:r>
              <w:rPr>
                <w:sz w:val="20"/>
                <w:szCs w:val="20"/>
              </w:rPr>
              <w:t>Build interactive KPI monitoring cards across 3 dashboard pages</w:t>
            </w:r>
          </w:p>
          <w:p w14:paraId="17394B66" w14:textId="77777777" w:rsidR="001658FA" w:rsidRDefault="00000000">
            <w:pPr>
              <w:pStyle w:val="ListParagraph"/>
              <w:numPr>
                <w:ilvl w:val="0"/>
                <w:numId w:val="2"/>
              </w:numPr>
              <w:spacing w:after="80"/>
            </w:pPr>
            <w:r>
              <w:rPr>
                <w:sz w:val="20"/>
                <w:szCs w:val="20"/>
              </w:rPr>
              <w:t>Apply DAX measures for dynamic metric calculation and aggregation</w:t>
            </w:r>
          </w:p>
          <w:p w14:paraId="0C0E3AB6" w14:textId="77777777" w:rsidR="001658FA" w:rsidRDefault="00000000">
            <w:pPr>
              <w:pStyle w:val="ListParagraph"/>
              <w:numPr>
                <w:ilvl w:val="0"/>
                <w:numId w:val="2"/>
              </w:numPr>
              <w:spacing w:after="80"/>
            </w:pPr>
            <w:r>
              <w:rPr>
                <w:sz w:val="20"/>
                <w:szCs w:val="20"/>
              </w:rPr>
              <w:t>Use conditional formatting to highlight risk levels automatically</w:t>
            </w:r>
          </w:p>
          <w:p w14:paraId="18EF1A82" w14:textId="77777777" w:rsidR="001658FA" w:rsidRDefault="00000000">
            <w:pPr>
              <w:pStyle w:val="ListParagraph"/>
              <w:numPr>
                <w:ilvl w:val="0"/>
                <w:numId w:val="2"/>
              </w:numPr>
              <w:spacing w:after="80"/>
            </w:pPr>
            <w:r>
              <w:rPr>
                <w:sz w:val="20"/>
                <w:szCs w:val="20"/>
              </w:rPr>
              <w:t>Deliver a portfolio-ready Power BI dashboard with professional styling</w:t>
            </w:r>
          </w:p>
        </w:tc>
      </w:tr>
    </w:tbl>
    <w:p w14:paraId="3C382F76" w14:textId="77777777" w:rsidR="001658FA" w:rsidRDefault="001658FA">
      <w:pPr>
        <w:spacing w:after="22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
        <w:gridCol w:w="9826"/>
      </w:tblGrid>
      <w:tr w:rsidR="001658FA" w14:paraId="274F7493" w14:textId="77777777">
        <w:tc>
          <w:tcPr>
            <w:tcW w:w="0" w:type="auto"/>
            <w:tcBorders>
              <w:top w:val="none" w:sz="0" w:space="0" w:color="FFFFFF"/>
              <w:left w:val="none" w:sz="0" w:space="0" w:color="FFFFFF"/>
              <w:bottom w:val="none" w:sz="0" w:space="0" w:color="FFFFFF"/>
              <w:right w:val="none" w:sz="0" w:space="0" w:color="FFFFFF"/>
            </w:tcBorders>
            <w:shd w:val="clear" w:color="auto" w:fill="13B5A7"/>
            <w:tcMar>
              <w:top w:w="0" w:type="dxa"/>
              <w:left w:w="0" w:type="dxa"/>
              <w:bottom w:w="0" w:type="dxa"/>
              <w:right w:w="0" w:type="dxa"/>
            </w:tcMar>
          </w:tcPr>
          <w:p w14:paraId="52818DEB" w14:textId="77777777" w:rsidR="001658FA" w:rsidRDefault="001658FA"/>
        </w:tc>
        <w:tc>
          <w:tcPr>
            <w:tcW w:w="0" w:type="auto"/>
            <w:tcBorders>
              <w:top w:val="none" w:sz="0" w:space="0" w:color="FFFFFF"/>
              <w:left w:val="none" w:sz="0" w:space="0" w:color="FFFFFF"/>
              <w:bottom w:val="none" w:sz="0" w:space="0" w:color="FFFFFF"/>
              <w:right w:val="none" w:sz="0" w:space="0" w:color="FFFFFF"/>
            </w:tcBorders>
            <w:shd w:val="clear" w:color="auto" w:fill="0A3D3A"/>
            <w:tcMar>
              <w:top w:w="160" w:type="dxa"/>
              <w:left w:w="280" w:type="dxa"/>
              <w:bottom w:w="160" w:type="dxa"/>
              <w:right w:w="200" w:type="dxa"/>
            </w:tcMar>
          </w:tcPr>
          <w:p w14:paraId="4F2E5839" w14:textId="77777777" w:rsidR="001658FA" w:rsidRDefault="00000000">
            <w:pPr>
              <w:spacing w:after="40"/>
            </w:pPr>
            <w:r>
              <w:rPr>
                <w:b/>
                <w:bCs/>
                <w:color w:val="13B5A7"/>
                <w:sz w:val="16"/>
                <w:szCs w:val="16"/>
              </w:rPr>
              <w:t>SECTION 02</w:t>
            </w:r>
          </w:p>
          <w:p w14:paraId="3FFB531B" w14:textId="77777777" w:rsidR="001658FA" w:rsidRDefault="00000000">
            <w:pPr>
              <w:spacing w:after="40"/>
            </w:pPr>
            <w:r>
              <w:rPr>
                <w:b/>
                <w:bCs/>
                <w:color w:val="FFFFFF"/>
                <w:sz w:val="32"/>
                <w:szCs w:val="32"/>
              </w:rPr>
              <w:t>TECHNICAL SETUP</w:t>
            </w:r>
          </w:p>
          <w:p w14:paraId="27B008D4" w14:textId="77777777" w:rsidR="001658FA" w:rsidRDefault="00000000">
            <w:r>
              <w:rPr>
                <w:i/>
                <w:iCs/>
                <w:color w:val="C8D8D6"/>
                <w:sz w:val="19"/>
                <w:szCs w:val="19"/>
              </w:rPr>
              <w:t>Data connection, model and DAX measures</w:t>
            </w:r>
          </w:p>
        </w:tc>
      </w:tr>
    </w:tbl>
    <w:p w14:paraId="2E37F0CA" w14:textId="77777777" w:rsidR="001658FA" w:rsidRDefault="001658FA">
      <w:pPr>
        <w:spacing w:after="160"/>
      </w:pPr>
    </w:p>
    <w:p w14:paraId="331D3081" w14:textId="77777777" w:rsidR="001658FA" w:rsidRDefault="00000000">
      <w:pPr>
        <w:spacing w:after="100"/>
      </w:pPr>
      <w:r>
        <w:rPr>
          <w:b/>
          <w:bCs/>
          <w:color w:val="0A3D3A"/>
          <w:sz w:val="24"/>
          <w:szCs w:val="24"/>
        </w:rPr>
        <w:t>Data Connection</w:t>
      </w:r>
    </w:p>
    <w:p w14:paraId="01DA8468" w14:textId="77777777" w:rsidR="001658FA" w:rsidRDefault="001658FA">
      <w:pPr>
        <w:pBdr>
          <w:bottom w:val="single" w:sz="10" w:space="1" w:color="13B5A7"/>
        </w:pBdr>
        <w:spacing w:before="60"/>
      </w:pPr>
    </w:p>
    <w:p w14:paraId="37163E75" w14:textId="77777777" w:rsidR="001658FA" w:rsidRDefault="001658FA">
      <w:pPr>
        <w:spacing w:after="8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6240"/>
      </w:tblGrid>
      <w:tr w:rsidR="001658FA" w14:paraId="1715796F" w14:textId="77777777">
        <w:trPr>
          <w:tblHeader/>
        </w:trPr>
        <w:tc>
          <w:tcPr>
            <w:tcW w:w="360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6B66DC94" w14:textId="77777777" w:rsidR="001658FA" w:rsidRDefault="00000000">
            <w:pPr>
              <w:jc w:val="center"/>
            </w:pPr>
            <w:r>
              <w:rPr>
                <w:b/>
                <w:bCs/>
                <w:color w:val="FFFFFF"/>
                <w:sz w:val="19"/>
                <w:szCs w:val="19"/>
              </w:rPr>
              <w:t>Setting</w:t>
            </w:r>
          </w:p>
        </w:tc>
        <w:tc>
          <w:tcPr>
            <w:tcW w:w="624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642914F2" w14:textId="77777777" w:rsidR="001658FA" w:rsidRDefault="00000000">
            <w:pPr>
              <w:jc w:val="center"/>
            </w:pPr>
            <w:r>
              <w:rPr>
                <w:b/>
                <w:bCs/>
                <w:color w:val="FFFFFF"/>
                <w:sz w:val="19"/>
                <w:szCs w:val="19"/>
              </w:rPr>
              <w:t>Value</w:t>
            </w:r>
          </w:p>
        </w:tc>
      </w:tr>
      <w:tr w:rsidR="001658FA" w14:paraId="2E3CEC72" w14:textId="77777777">
        <w:tc>
          <w:tcPr>
            <w:tcW w:w="36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2DE051EB" w14:textId="77777777" w:rsidR="001658FA" w:rsidRDefault="00000000">
            <w:pPr>
              <w:jc w:val="center"/>
            </w:pPr>
            <w:r>
              <w:rPr>
                <w:sz w:val="19"/>
                <w:szCs w:val="19"/>
              </w:rPr>
              <w:t>Connection Type</w:t>
            </w:r>
          </w:p>
        </w:tc>
        <w:tc>
          <w:tcPr>
            <w:tcW w:w="62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11B37FDD" w14:textId="77777777" w:rsidR="001658FA" w:rsidRDefault="00000000">
            <w:pPr>
              <w:jc w:val="center"/>
            </w:pPr>
            <w:r>
              <w:rPr>
                <w:sz w:val="19"/>
                <w:szCs w:val="19"/>
              </w:rPr>
              <w:t>MySQL Database (Import Mode)</w:t>
            </w:r>
          </w:p>
        </w:tc>
      </w:tr>
      <w:tr w:rsidR="001658FA" w14:paraId="4F38950D" w14:textId="77777777">
        <w:tc>
          <w:tcPr>
            <w:tcW w:w="36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72479CDD" w14:textId="77777777" w:rsidR="001658FA" w:rsidRDefault="00000000">
            <w:pPr>
              <w:jc w:val="center"/>
            </w:pPr>
            <w:r>
              <w:rPr>
                <w:sz w:val="19"/>
                <w:szCs w:val="19"/>
              </w:rPr>
              <w:t>Server</w:t>
            </w:r>
          </w:p>
        </w:tc>
        <w:tc>
          <w:tcPr>
            <w:tcW w:w="624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4059C71E" w14:textId="77777777" w:rsidR="001658FA" w:rsidRDefault="00000000">
            <w:pPr>
              <w:jc w:val="center"/>
            </w:pPr>
            <w:r>
              <w:rPr>
                <w:sz w:val="19"/>
                <w:szCs w:val="19"/>
              </w:rPr>
              <w:t>localhost:3306</w:t>
            </w:r>
          </w:p>
        </w:tc>
      </w:tr>
      <w:tr w:rsidR="001658FA" w14:paraId="6C8DAE8C" w14:textId="77777777">
        <w:tc>
          <w:tcPr>
            <w:tcW w:w="36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48BAF4AE" w14:textId="77777777" w:rsidR="001658FA" w:rsidRDefault="00000000">
            <w:pPr>
              <w:jc w:val="center"/>
            </w:pPr>
            <w:r>
              <w:rPr>
                <w:sz w:val="19"/>
                <w:szCs w:val="19"/>
              </w:rPr>
              <w:t>Database</w:t>
            </w:r>
          </w:p>
        </w:tc>
        <w:tc>
          <w:tcPr>
            <w:tcW w:w="62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474992B3" w14:textId="77777777" w:rsidR="001658FA" w:rsidRDefault="00000000">
            <w:pPr>
              <w:jc w:val="center"/>
            </w:pPr>
            <w:r>
              <w:rPr>
                <w:sz w:val="19"/>
                <w:szCs w:val="19"/>
              </w:rPr>
              <w:t>fraud_detection_system</w:t>
            </w:r>
          </w:p>
        </w:tc>
      </w:tr>
      <w:tr w:rsidR="001658FA" w14:paraId="5EB5574C" w14:textId="77777777">
        <w:tc>
          <w:tcPr>
            <w:tcW w:w="36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126E22AE" w14:textId="77777777" w:rsidR="001658FA" w:rsidRDefault="00000000">
            <w:pPr>
              <w:jc w:val="center"/>
            </w:pPr>
            <w:r>
              <w:rPr>
                <w:sz w:val="19"/>
                <w:szCs w:val="19"/>
              </w:rPr>
              <w:t>Username</w:t>
            </w:r>
          </w:p>
        </w:tc>
        <w:tc>
          <w:tcPr>
            <w:tcW w:w="624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26351D64" w14:textId="77777777" w:rsidR="001658FA" w:rsidRDefault="00000000">
            <w:pPr>
              <w:jc w:val="center"/>
            </w:pPr>
            <w:r>
              <w:rPr>
                <w:sz w:val="19"/>
                <w:szCs w:val="19"/>
              </w:rPr>
              <w:t>root</w:t>
            </w:r>
          </w:p>
        </w:tc>
      </w:tr>
      <w:tr w:rsidR="001658FA" w14:paraId="7C35CA25" w14:textId="77777777">
        <w:tc>
          <w:tcPr>
            <w:tcW w:w="36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6DE2F3DF" w14:textId="77777777" w:rsidR="001658FA" w:rsidRDefault="00000000">
            <w:pPr>
              <w:jc w:val="center"/>
            </w:pPr>
            <w:r>
              <w:rPr>
                <w:sz w:val="19"/>
                <w:szCs w:val="19"/>
              </w:rPr>
              <w:t>Connector</w:t>
            </w:r>
          </w:p>
        </w:tc>
        <w:tc>
          <w:tcPr>
            <w:tcW w:w="62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36B2961E" w14:textId="77777777" w:rsidR="001658FA" w:rsidRDefault="00000000">
            <w:pPr>
              <w:jc w:val="center"/>
            </w:pPr>
            <w:r>
              <w:rPr>
                <w:sz w:val="19"/>
                <w:szCs w:val="19"/>
              </w:rPr>
              <w:t>MySQL Connector/NET</w:t>
            </w:r>
          </w:p>
        </w:tc>
      </w:tr>
    </w:tbl>
    <w:p w14:paraId="3698F80F" w14:textId="77777777" w:rsidR="001658FA" w:rsidRDefault="001658FA">
      <w:pPr>
        <w:spacing w:after="180"/>
      </w:pPr>
    </w:p>
    <w:p w14:paraId="257132CA" w14:textId="77777777" w:rsidR="001658FA" w:rsidRDefault="00000000">
      <w:pPr>
        <w:spacing w:after="100"/>
      </w:pPr>
      <w:r>
        <w:rPr>
          <w:b/>
          <w:bCs/>
          <w:color w:val="0A3D3A"/>
          <w:sz w:val="24"/>
          <w:szCs w:val="24"/>
        </w:rPr>
        <w:t>Tables &amp; Views Loaded</w:t>
      </w:r>
    </w:p>
    <w:p w14:paraId="02B632F9" w14:textId="77777777" w:rsidR="001658FA" w:rsidRDefault="001658FA">
      <w:pPr>
        <w:pBdr>
          <w:bottom w:val="single" w:sz="10" w:space="1" w:color="13B5A7"/>
        </w:pBdr>
        <w:spacing w:before="60"/>
      </w:pPr>
    </w:p>
    <w:p w14:paraId="22CE27CA" w14:textId="77777777" w:rsidR="001658FA" w:rsidRDefault="001658FA">
      <w:pPr>
        <w:spacing w:after="8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800"/>
        <w:gridCol w:w="4840"/>
      </w:tblGrid>
      <w:tr w:rsidR="001658FA" w14:paraId="3B6EF812" w14:textId="77777777">
        <w:trPr>
          <w:tblHeader/>
        </w:trPr>
        <w:tc>
          <w:tcPr>
            <w:tcW w:w="320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59D9461A" w14:textId="77777777" w:rsidR="001658FA" w:rsidRDefault="00000000">
            <w:pPr>
              <w:jc w:val="center"/>
            </w:pPr>
            <w:r>
              <w:rPr>
                <w:b/>
                <w:bCs/>
                <w:color w:val="FFFFFF"/>
                <w:sz w:val="19"/>
                <w:szCs w:val="19"/>
              </w:rPr>
              <w:lastRenderedPageBreak/>
              <w:t>Object</w:t>
            </w:r>
          </w:p>
        </w:tc>
        <w:tc>
          <w:tcPr>
            <w:tcW w:w="180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7F633C7E" w14:textId="77777777" w:rsidR="001658FA" w:rsidRDefault="00000000">
            <w:pPr>
              <w:jc w:val="center"/>
            </w:pPr>
            <w:r>
              <w:rPr>
                <w:b/>
                <w:bCs/>
                <w:color w:val="FFFFFF"/>
                <w:sz w:val="19"/>
                <w:szCs w:val="19"/>
              </w:rPr>
              <w:t>Type</w:t>
            </w:r>
          </w:p>
        </w:tc>
        <w:tc>
          <w:tcPr>
            <w:tcW w:w="484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1D14A0F1" w14:textId="77777777" w:rsidR="001658FA" w:rsidRDefault="00000000">
            <w:pPr>
              <w:jc w:val="center"/>
            </w:pPr>
            <w:r>
              <w:rPr>
                <w:b/>
                <w:bCs/>
                <w:color w:val="FFFFFF"/>
                <w:sz w:val="19"/>
                <w:szCs w:val="19"/>
              </w:rPr>
              <w:t>Used In</w:t>
            </w:r>
          </w:p>
        </w:tc>
      </w:tr>
      <w:tr w:rsidR="001658FA" w14:paraId="044FFB1A" w14:textId="77777777">
        <w:tc>
          <w:tcPr>
            <w:tcW w:w="32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2B2F9F0F" w14:textId="77777777" w:rsidR="001658FA" w:rsidRDefault="00000000">
            <w:pPr>
              <w:jc w:val="center"/>
            </w:pPr>
            <w:r>
              <w:rPr>
                <w:sz w:val="19"/>
                <w:szCs w:val="19"/>
              </w:rPr>
              <w:t>transactions</w:t>
            </w:r>
          </w:p>
        </w:tc>
        <w:tc>
          <w:tcPr>
            <w:tcW w:w="18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5CF5D817" w14:textId="77777777" w:rsidR="001658FA" w:rsidRDefault="00000000">
            <w:pPr>
              <w:jc w:val="center"/>
            </w:pPr>
            <w:r>
              <w:rPr>
                <w:sz w:val="19"/>
                <w:szCs w:val="19"/>
              </w:rPr>
              <w:t>Table</w:t>
            </w:r>
          </w:p>
        </w:tc>
        <w:tc>
          <w:tcPr>
            <w:tcW w:w="48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5E6FDBCC" w14:textId="77777777" w:rsidR="001658FA" w:rsidRDefault="00000000">
            <w:pPr>
              <w:jc w:val="center"/>
            </w:pPr>
            <w:r>
              <w:rPr>
                <w:sz w:val="19"/>
                <w:szCs w:val="19"/>
              </w:rPr>
              <w:t>Page 1 — Overview</w:t>
            </w:r>
          </w:p>
        </w:tc>
      </w:tr>
      <w:tr w:rsidR="001658FA" w14:paraId="00B9A2D4" w14:textId="77777777">
        <w:tc>
          <w:tcPr>
            <w:tcW w:w="32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0B60CDB2" w14:textId="77777777" w:rsidR="001658FA" w:rsidRDefault="00000000">
            <w:pPr>
              <w:jc w:val="center"/>
            </w:pPr>
            <w:r>
              <w:rPr>
                <w:sz w:val="19"/>
                <w:szCs w:val="19"/>
              </w:rPr>
              <w:t>customers</w:t>
            </w:r>
          </w:p>
        </w:tc>
        <w:tc>
          <w:tcPr>
            <w:tcW w:w="18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1BBFD073" w14:textId="77777777" w:rsidR="001658FA" w:rsidRDefault="00000000">
            <w:pPr>
              <w:jc w:val="center"/>
            </w:pPr>
            <w:r>
              <w:rPr>
                <w:sz w:val="19"/>
                <w:szCs w:val="19"/>
              </w:rPr>
              <w:t>Table</w:t>
            </w:r>
          </w:p>
        </w:tc>
        <w:tc>
          <w:tcPr>
            <w:tcW w:w="484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28AC9AC1" w14:textId="77777777" w:rsidR="001658FA" w:rsidRDefault="00000000">
            <w:pPr>
              <w:jc w:val="center"/>
            </w:pPr>
            <w:r>
              <w:rPr>
                <w:sz w:val="19"/>
                <w:szCs w:val="19"/>
              </w:rPr>
              <w:t>Page 3 — Customer Risk</w:t>
            </w:r>
          </w:p>
        </w:tc>
      </w:tr>
      <w:tr w:rsidR="001658FA" w14:paraId="7E06F6CC" w14:textId="77777777">
        <w:tc>
          <w:tcPr>
            <w:tcW w:w="32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6CA841C8" w14:textId="77777777" w:rsidR="001658FA" w:rsidRDefault="00000000">
            <w:pPr>
              <w:jc w:val="center"/>
            </w:pPr>
            <w:r>
              <w:rPr>
                <w:sz w:val="19"/>
                <w:szCs w:val="19"/>
              </w:rPr>
              <w:t>accounts</w:t>
            </w:r>
          </w:p>
        </w:tc>
        <w:tc>
          <w:tcPr>
            <w:tcW w:w="18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0DF07A4A" w14:textId="77777777" w:rsidR="001658FA" w:rsidRDefault="00000000">
            <w:pPr>
              <w:jc w:val="center"/>
            </w:pPr>
            <w:r>
              <w:rPr>
                <w:sz w:val="19"/>
                <w:szCs w:val="19"/>
              </w:rPr>
              <w:t>Table</w:t>
            </w:r>
          </w:p>
        </w:tc>
        <w:tc>
          <w:tcPr>
            <w:tcW w:w="48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5D9025CC" w14:textId="77777777" w:rsidR="001658FA" w:rsidRDefault="00000000">
            <w:pPr>
              <w:jc w:val="center"/>
            </w:pPr>
            <w:r>
              <w:rPr>
                <w:sz w:val="19"/>
                <w:szCs w:val="19"/>
              </w:rPr>
              <w:t>Relationship bridge</w:t>
            </w:r>
          </w:p>
        </w:tc>
      </w:tr>
      <w:tr w:rsidR="001658FA" w14:paraId="03BFFE27" w14:textId="77777777">
        <w:tc>
          <w:tcPr>
            <w:tcW w:w="32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6C36DB54" w14:textId="77777777" w:rsidR="001658FA" w:rsidRDefault="00000000">
            <w:pPr>
              <w:jc w:val="center"/>
            </w:pPr>
            <w:r>
              <w:rPr>
                <w:sz w:val="19"/>
                <w:szCs w:val="19"/>
              </w:rPr>
              <w:t>vw_suspicious_transactions</w:t>
            </w:r>
          </w:p>
        </w:tc>
        <w:tc>
          <w:tcPr>
            <w:tcW w:w="18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0F892306" w14:textId="77777777" w:rsidR="001658FA" w:rsidRDefault="00000000">
            <w:pPr>
              <w:jc w:val="center"/>
            </w:pPr>
            <w:r>
              <w:rPr>
                <w:sz w:val="19"/>
                <w:szCs w:val="19"/>
              </w:rPr>
              <w:t>View</w:t>
            </w:r>
          </w:p>
        </w:tc>
        <w:tc>
          <w:tcPr>
            <w:tcW w:w="484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1B115A40" w14:textId="77777777" w:rsidR="001658FA" w:rsidRDefault="00000000">
            <w:pPr>
              <w:jc w:val="center"/>
            </w:pPr>
            <w:r>
              <w:rPr>
                <w:sz w:val="19"/>
                <w:szCs w:val="19"/>
              </w:rPr>
              <w:t>Page 2 — High value table</w:t>
            </w:r>
          </w:p>
        </w:tc>
      </w:tr>
      <w:tr w:rsidR="001658FA" w14:paraId="50F0748F" w14:textId="77777777">
        <w:tc>
          <w:tcPr>
            <w:tcW w:w="32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7785DAC8" w14:textId="77777777" w:rsidR="001658FA" w:rsidRDefault="00000000">
            <w:pPr>
              <w:jc w:val="center"/>
            </w:pPr>
            <w:r>
              <w:rPr>
                <w:sz w:val="19"/>
                <w:szCs w:val="19"/>
              </w:rPr>
              <w:t>vw_rapid_transfers</w:t>
            </w:r>
          </w:p>
        </w:tc>
        <w:tc>
          <w:tcPr>
            <w:tcW w:w="18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652728D5" w14:textId="77777777" w:rsidR="001658FA" w:rsidRDefault="00000000">
            <w:pPr>
              <w:jc w:val="center"/>
            </w:pPr>
            <w:r>
              <w:rPr>
                <w:sz w:val="19"/>
                <w:szCs w:val="19"/>
              </w:rPr>
              <w:t>View</w:t>
            </w:r>
          </w:p>
        </w:tc>
        <w:tc>
          <w:tcPr>
            <w:tcW w:w="48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2A566F16" w14:textId="77777777" w:rsidR="001658FA" w:rsidRDefault="00000000">
            <w:pPr>
              <w:jc w:val="center"/>
            </w:pPr>
            <w:r>
              <w:rPr>
                <w:sz w:val="19"/>
                <w:szCs w:val="19"/>
              </w:rPr>
              <w:t>Page 2 — Rapid transfers</w:t>
            </w:r>
          </w:p>
        </w:tc>
      </w:tr>
      <w:tr w:rsidR="001658FA" w14:paraId="7894B38E" w14:textId="77777777">
        <w:tc>
          <w:tcPr>
            <w:tcW w:w="32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33B47C6C" w14:textId="77777777" w:rsidR="001658FA" w:rsidRDefault="00000000">
            <w:pPr>
              <w:jc w:val="center"/>
            </w:pPr>
            <w:r>
              <w:rPr>
                <w:sz w:val="19"/>
                <w:szCs w:val="19"/>
              </w:rPr>
              <w:t>vw_high_risk_transactions</w:t>
            </w:r>
          </w:p>
        </w:tc>
        <w:tc>
          <w:tcPr>
            <w:tcW w:w="18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2E161959" w14:textId="77777777" w:rsidR="001658FA" w:rsidRDefault="00000000">
            <w:pPr>
              <w:jc w:val="center"/>
            </w:pPr>
            <w:r>
              <w:rPr>
                <w:sz w:val="19"/>
                <w:szCs w:val="19"/>
              </w:rPr>
              <w:t>View</w:t>
            </w:r>
          </w:p>
        </w:tc>
        <w:tc>
          <w:tcPr>
            <w:tcW w:w="484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20D72434" w14:textId="77777777" w:rsidR="001658FA" w:rsidRDefault="00000000">
            <w:pPr>
              <w:jc w:val="center"/>
            </w:pPr>
            <w:r>
              <w:rPr>
                <w:sz w:val="19"/>
                <w:szCs w:val="19"/>
              </w:rPr>
              <w:t>Page 2 — High risk customers</w:t>
            </w:r>
          </w:p>
        </w:tc>
      </w:tr>
      <w:tr w:rsidR="001658FA" w14:paraId="09E199AC" w14:textId="77777777">
        <w:tc>
          <w:tcPr>
            <w:tcW w:w="32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7BB95887" w14:textId="77777777" w:rsidR="001658FA" w:rsidRDefault="00000000">
            <w:pPr>
              <w:jc w:val="center"/>
            </w:pPr>
            <w:r>
              <w:rPr>
                <w:sz w:val="19"/>
                <w:szCs w:val="19"/>
              </w:rPr>
              <w:t>vw_transaction_hotspots</w:t>
            </w:r>
          </w:p>
        </w:tc>
        <w:tc>
          <w:tcPr>
            <w:tcW w:w="18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10861C52" w14:textId="77777777" w:rsidR="001658FA" w:rsidRDefault="00000000">
            <w:pPr>
              <w:jc w:val="center"/>
            </w:pPr>
            <w:r>
              <w:rPr>
                <w:sz w:val="19"/>
                <w:szCs w:val="19"/>
              </w:rPr>
              <w:t>View</w:t>
            </w:r>
          </w:p>
        </w:tc>
        <w:tc>
          <w:tcPr>
            <w:tcW w:w="48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03F93136" w14:textId="77777777" w:rsidR="001658FA" w:rsidRDefault="00000000">
            <w:pPr>
              <w:jc w:val="center"/>
            </w:pPr>
            <w:r>
              <w:rPr>
                <w:sz w:val="19"/>
                <w:szCs w:val="19"/>
              </w:rPr>
              <w:t>Pages 1 &amp; 2 — City charts</w:t>
            </w:r>
          </w:p>
        </w:tc>
      </w:tr>
    </w:tbl>
    <w:p w14:paraId="2ED0FFAD" w14:textId="77777777" w:rsidR="001658FA" w:rsidRDefault="001658FA">
      <w:pPr>
        <w:spacing w:after="180"/>
      </w:pPr>
    </w:p>
    <w:p w14:paraId="22ED5F6C" w14:textId="77777777" w:rsidR="001658FA" w:rsidRDefault="00000000">
      <w:pPr>
        <w:spacing w:after="100"/>
      </w:pPr>
      <w:r>
        <w:rPr>
          <w:b/>
          <w:bCs/>
          <w:color w:val="0A3D3A"/>
          <w:sz w:val="24"/>
          <w:szCs w:val="24"/>
        </w:rPr>
        <w:t>Data Model Relationships</w:t>
      </w:r>
    </w:p>
    <w:p w14:paraId="07728855" w14:textId="77777777" w:rsidR="001658FA" w:rsidRDefault="001658FA">
      <w:pPr>
        <w:pBdr>
          <w:bottom w:val="single" w:sz="10" w:space="1" w:color="13B5A7"/>
        </w:pBdr>
        <w:spacing w:before="60"/>
      </w:pPr>
    </w:p>
    <w:p w14:paraId="4FE4CD0A" w14:textId="77777777" w:rsidR="001658FA" w:rsidRDefault="001658FA">
      <w:pPr>
        <w:spacing w:after="8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000"/>
        <w:gridCol w:w="1800"/>
        <w:gridCol w:w="1640"/>
      </w:tblGrid>
      <w:tr w:rsidR="001658FA" w14:paraId="3AFFC1CF" w14:textId="77777777">
        <w:trPr>
          <w:tblHeader/>
        </w:trPr>
        <w:tc>
          <w:tcPr>
            <w:tcW w:w="220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179AE043" w14:textId="77777777" w:rsidR="001658FA" w:rsidRDefault="00000000">
            <w:pPr>
              <w:jc w:val="center"/>
            </w:pPr>
            <w:r>
              <w:rPr>
                <w:b/>
                <w:bCs/>
                <w:color w:val="FFFFFF"/>
                <w:sz w:val="19"/>
                <w:szCs w:val="19"/>
              </w:rPr>
              <w:t>From Table</w:t>
            </w:r>
          </w:p>
        </w:tc>
        <w:tc>
          <w:tcPr>
            <w:tcW w:w="220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2B9A25D6" w14:textId="77777777" w:rsidR="001658FA" w:rsidRDefault="00000000">
            <w:pPr>
              <w:jc w:val="center"/>
            </w:pPr>
            <w:r>
              <w:rPr>
                <w:b/>
                <w:bCs/>
                <w:color w:val="FFFFFF"/>
                <w:sz w:val="19"/>
                <w:szCs w:val="19"/>
              </w:rPr>
              <w:t>From Field</w:t>
            </w:r>
          </w:p>
        </w:tc>
        <w:tc>
          <w:tcPr>
            <w:tcW w:w="200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53AA3EC2" w14:textId="77777777" w:rsidR="001658FA" w:rsidRDefault="00000000">
            <w:pPr>
              <w:jc w:val="center"/>
            </w:pPr>
            <w:r>
              <w:rPr>
                <w:b/>
                <w:bCs/>
                <w:color w:val="FFFFFF"/>
                <w:sz w:val="19"/>
                <w:szCs w:val="19"/>
              </w:rPr>
              <w:t>To Table</w:t>
            </w:r>
          </w:p>
        </w:tc>
        <w:tc>
          <w:tcPr>
            <w:tcW w:w="180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45368546" w14:textId="77777777" w:rsidR="001658FA" w:rsidRDefault="00000000">
            <w:pPr>
              <w:jc w:val="center"/>
            </w:pPr>
            <w:r>
              <w:rPr>
                <w:b/>
                <w:bCs/>
                <w:color w:val="FFFFFF"/>
                <w:sz w:val="19"/>
                <w:szCs w:val="19"/>
              </w:rPr>
              <w:t>To Field</w:t>
            </w:r>
          </w:p>
        </w:tc>
        <w:tc>
          <w:tcPr>
            <w:tcW w:w="164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57A39E61" w14:textId="77777777" w:rsidR="001658FA" w:rsidRDefault="00000000">
            <w:pPr>
              <w:jc w:val="center"/>
            </w:pPr>
            <w:r>
              <w:rPr>
                <w:b/>
                <w:bCs/>
                <w:color w:val="FFFFFF"/>
                <w:sz w:val="19"/>
                <w:szCs w:val="19"/>
              </w:rPr>
              <w:t>Cardinality</w:t>
            </w:r>
          </w:p>
        </w:tc>
      </w:tr>
      <w:tr w:rsidR="001658FA" w14:paraId="25EC2A80" w14:textId="77777777">
        <w:tc>
          <w:tcPr>
            <w:tcW w:w="22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00BB027C" w14:textId="77777777" w:rsidR="001658FA" w:rsidRDefault="00000000">
            <w:pPr>
              <w:jc w:val="center"/>
            </w:pPr>
            <w:r>
              <w:rPr>
                <w:sz w:val="19"/>
                <w:szCs w:val="19"/>
              </w:rPr>
              <w:t>transactions</w:t>
            </w:r>
          </w:p>
        </w:tc>
        <w:tc>
          <w:tcPr>
            <w:tcW w:w="22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215B122F" w14:textId="4574E9E4" w:rsidR="001658FA" w:rsidRDefault="00A65BF3">
            <w:pPr>
              <w:jc w:val="center"/>
            </w:pPr>
            <w:r>
              <w:rPr>
                <w:sz w:val="19"/>
                <w:szCs w:val="19"/>
              </w:rPr>
              <w:t>sender account</w:t>
            </w:r>
          </w:p>
        </w:tc>
        <w:tc>
          <w:tcPr>
            <w:tcW w:w="20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3DD56553" w14:textId="77777777" w:rsidR="001658FA" w:rsidRDefault="00000000">
            <w:pPr>
              <w:jc w:val="center"/>
            </w:pPr>
            <w:r>
              <w:rPr>
                <w:sz w:val="19"/>
                <w:szCs w:val="19"/>
              </w:rPr>
              <w:t>accounts</w:t>
            </w:r>
          </w:p>
        </w:tc>
        <w:tc>
          <w:tcPr>
            <w:tcW w:w="18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3E9CF4BC" w14:textId="77777777" w:rsidR="001658FA" w:rsidRDefault="00000000">
            <w:pPr>
              <w:jc w:val="center"/>
            </w:pPr>
            <w:r>
              <w:rPr>
                <w:sz w:val="19"/>
                <w:szCs w:val="19"/>
              </w:rPr>
              <w:t>account_id</w:t>
            </w:r>
          </w:p>
        </w:tc>
        <w:tc>
          <w:tcPr>
            <w:tcW w:w="16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2665AEB5" w14:textId="77777777" w:rsidR="001658FA" w:rsidRDefault="00000000">
            <w:pPr>
              <w:jc w:val="center"/>
            </w:pPr>
            <w:r>
              <w:rPr>
                <w:sz w:val="19"/>
                <w:szCs w:val="19"/>
              </w:rPr>
              <w:t>Many → One</w:t>
            </w:r>
          </w:p>
        </w:tc>
      </w:tr>
      <w:tr w:rsidR="001658FA" w14:paraId="725073C9" w14:textId="77777777">
        <w:tc>
          <w:tcPr>
            <w:tcW w:w="22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702734AF" w14:textId="77777777" w:rsidR="001658FA" w:rsidRDefault="00000000">
            <w:pPr>
              <w:jc w:val="center"/>
            </w:pPr>
            <w:r>
              <w:rPr>
                <w:sz w:val="19"/>
                <w:szCs w:val="19"/>
              </w:rPr>
              <w:t>accounts</w:t>
            </w:r>
          </w:p>
        </w:tc>
        <w:tc>
          <w:tcPr>
            <w:tcW w:w="22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2B1D02A7" w14:textId="77777777" w:rsidR="001658FA" w:rsidRDefault="00000000">
            <w:pPr>
              <w:jc w:val="center"/>
            </w:pPr>
            <w:r>
              <w:rPr>
                <w:sz w:val="19"/>
                <w:szCs w:val="19"/>
              </w:rPr>
              <w:t>customer_id</w:t>
            </w:r>
          </w:p>
        </w:tc>
        <w:tc>
          <w:tcPr>
            <w:tcW w:w="20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12FB9BDC" w14:textId="77777777" w:rsidR="001658FA" w:rsidRDefault="00000000">
            <w:pPr>
              <w:jc w:val="center"/>
            </w:pPr>
            <w:r>
              <w:rPr>
                <w:sz w:val="19"/>
                <w:szCs w:val="19"/>
              </w:rPr>
              <w:t>customers</w:t>
            </w:r>
          </w:p>
        </w:tc>
        <w:tc>
          <w:tcPr>
            <w:tcW w:w="18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5996FC92" w14:textId="77777777" w:rsidR="001658FA" w:rsidRDefault="00000000">
            <w:pPr>
              <w:jc w:val="center"/>
            </w:pPr>
            <w:r>
              <w:rPr>
                <w:sz w:val="19"/>
                <w:szCs w:val="19"/>
              </w:rPr>
              <w:t>customer_id</w:t>
            </w:r>
          </w:p>
        </w:tc>
        <w:tc>
          <w:tcPr>
            <w:tcW w:w="164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106448FB" w14:textId="77777777" w:rsidR="001658FA" w:rsidRDefault="00000000">
            <w:pPr>
              <w:jc w:val="center"/>
            </w:pPr>
            <w:r>
              <w:rPr>
                <w:sz w:val="19"/>
                <w:szCs w:val="19"/>
              </w:rPr>
              <w:t>Many → One</w:t>
            </w:r>
          </w:p>
        </w:tc>
      </w:tr>
    </w:tbl>
    <w:p w14:paraId="1376E57A" w14:textId="77777777" w:rsidR="001658FA" w:rsidRDefault="001658FA">
      <w:pPr>
        <w:spacing w:after="220"/>
      </w:pPr>
    </w:p>
    <w:p w14:paraId="534E2BBF" w14:textId="77777777" w:rsidR="001658FA" w:rsidRDefault="00000000">
      <w:pPr>
        <w:spacing w:after="100"/>
      </w:pPr>
      <w:r>
        <w:rPr>
          <w:b/>
          <w:bCs/>
          <w:color w:val="0A3D3A"/>
          <w:sz w:val="24"/>
          <w:szCs w:val="24"/>
        </w:rPr>
        <w:t>DAX Measures</w:t>
      </w:r>
    </w:p>
    <w:p w14:paraId="78F12197" w14:textId="77777777" w:rsidR="001658FA" w:rsidRDefault="001658FA">
      <w:pPr>
        <w:pBdr>
          <w:bottom w:val="single" w:sz="10" w:space="1" w:color="13B5A7"/>
        </w:pBdr>
        <w:spacing w:before="60"/>
      </w:pPr>
    </w:p>
    <w:p w14:paraId="55A28A93" w14:textId="77777777" w:rsidR="001658FA" w:rsidRDefault="001658FA">
      <w:pPr>
        <w:spacing w:after="8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4040"/>
        <w:gridCol w:w="3200"/>
      </w:tblGrid>
      <w:tr w:rsidR="001658FA" w14:paraId="7100F635" w14:textId="77777777">
        <w:trPr>
          <w:tblHeader/>
        </w:trPr>
        <w:tc>
          <w:tcPr>
            <w:tcW w:w="260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57AB18D2" w14:textId="77777777" w:rsidR="001658FA" w:rsidRDefault="00000000">
            <w:pPr>
              <w:jc w:val="center"/>
            </w:pPr>
            <w:r>
              <w:rPr>
                <w:b/>
                <w:bCs/>
                <w:color w:val="FFFFFF"/>
                <w:sz w:val="19"/>
                <w:szCs w:val="19"/>
              </w:rPr>
              <w:t>Measure Name</w:t>
            </w:r>
          </w:p>
        </w:tc>
        <w:tc>
          <w:tcPr>
            <w:tcW w:w="404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59E40DF3" w14:textId="77777777" w:rsidR="001658FA" w:rsidRDefault="00000000">
            <w:pPr>
              <w:jc w:val="center"/>
            </w:pPr>
            <w:r>
              <w:rPr>
                <w:b/>
                <w:bCs/>
                <w:color w:val="FFFFFF"/>
                <w:sz w:val="19"/>
                <w:szCs w:val="19"/>
              </w:rPr>
              <w:t>DAX Formula</w:t>
            </w:r>
          </w:p>
        </w:tc>
        <w:tc>
          <w:tcPr>
            <w:tcW w:w="320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1CF7FF11" w14:textId="77777777" w:rsidR="001658FA" w:rsidRDefault="00000000">
            <w:pPr>
              <w:jc w:val="center"/>
            </w:pPr>
            <w:r>
              <w:rPr>
                <w:b/>
                <w:bCs/>
                <w:color w:val="FFFFFF"/>
                <w:sz w:val="19"/>
                <w:szCs w:val="19"/>
              </w:rPr>
              <w:t>Purpose</w:t>
            </w:r>
          </w:p>
        </w:tc>
      </w:tr>
      <w:tr w:rsidR="001658FA" w14:paraId="3DE0873D" w14:textId="77777777">
        <w:tc>
          <w:tcPr>
            <w:tcW w:w="26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4CF23096" w14:textId="77777777" w:rsidR="001658FA" w:rsidRDefault="00000000">
            <w:pPr>
              <w:jc w:val="center"/>
            </w:pPr>
            <w:r>
              <w:rPr>
                <w:sz w:val="19"/>
                <w:szCs w:val="19"/>
              </w:rPr>
              <w:t>Total Transactions</w:t>
            </w:r>
          </w:p>
        </w:tc>
        <w:tc>
          <w:tcPr>
            <w:tcW w:w="40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023EC289" w14:textId="610015B4" w:rsidR="001658FA" w:rsidRDefault="00A65BF3">
            <w:pPr>
              <w:jc w:val="center"/>
            </w:pPr>
            <w:r>
              <w:rPr>
                <w:sz w:val="19"/>
                <w:szCs w:val="19"/>
              </w:rPr>
              <w:t>COUNTROWS (</w:t>
            </w:r>
            <w:r w:rsidR="00000000">
              <w:rPr>
                <w:sz w:val="19"/>
                <w:szCs w:val="19"/>
              </w:rPr>
              <w:t>'fraud_detection_system transactions')</w:t>
            </w:r>
          </w:p>
        </w:tc>
        <w:tc>
          <w:tcPr>
            <w:tcW w:w="32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3CB9C5A8" w14:textId="77777777" w:rsidR="001658FA" w:rsidRDefault="00000000">
            <w:pPr>
              <w:jc w:val="center"/>
            </w:pPr>
            <w:r>
              <w:rPr>
                <w:sz w:val="19"/>
                <w:szCs w:val="19"/>
              </w:rPr>
              <w:t>Count of all transactions</w:t>
            </w:r>
          </w:p>
        </w:tc>
      </w:tr>
      <w:tr w:rsidR="001658FA" w14:paraId="0A346F18" w14:textId="77777777">
        <w:tc>
          <w:tcPr>
            <w:tcW w:w="26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69B10B65" w14:textId="77777777" w:rsidR="001658FA" w:rsidRDefault="00000000">
            <w:pPr>
              <w:jc w:val="center"/>
            </w:pPr>
            <w:r>
              <w:rPr>
                <w:sz w:val="19"/>
                <w:szCs w:val="19"/>
              </w:rPr>
              <w:t>Total Value</w:t>
            </w:r>
          </w:p>
        </w:tc>
        <w:tc>
          <w:tcPr>
            <w:tcW w:w="404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480F1289" w14:textId="6790D5F9" w:rsidR="001658FA" w:rsidRDefault="00A65BF3">
            <w:pPr>
              <w:jc w:val="center"/>
            </w:pPr>
            <w:r>
              <w:rPr>
                <w:sz w:val="19"/>
                <w:szCs w:val="19"/>
              </w:rPr>
              <w:t>SUM (</w:t>
            </w:r>
            <w:r w:rsidR="00000000">
              <w:rPr>
                <w:sz w:val="19"/>
                <w:szCs w:val="19"/>
              </w:rPr>
              <w:t>'fraud_detection_system transactions'[amount])</w:t>
            </w:r>
          </w:p>
        </w:tc>
        <w:tc>
          <w:tcPr>
            <w:tcW w:w="32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0546DA61" w14:textId="77777777" w:rsidR="001658FA" w:rsidRDefault="00000000">
            <w:pPr>
              <w:jc w:val="center"/>
            </w:pPr>
            <w:r>
              <w:rPr>
                <w:sz w:val="19"/>
                <w:szCs w:val="19"/>
              </w:rPr>
              <w:t>Sum of all transaction amounts</w:t>
            </w:r>
          </w:p>
        </w:tc>
      </w:tr>
      <w:tr w:rsidR="001658FA" w14:paraId="093287F3" w14:textId="77777777">
        <w:tc>
          <w:tcPr>
            <w:tcW w:w="26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18969382" w14:textId="77777777" w:rsidR="001658FA" w:rsidRDefault="00000000">
            <w:pPr>
              <w:jc w:val="center"/>
            </w:pPr>
            <w:r>
              <w:rPr>
                <w:sz w:val="19"/>
                <w:szCs w:val="19"/>
              </w:rPr>
              <w:t>High Value Transactions</w:t>
            </w:r>
          </w:p>
        </w:tc>
        <w:tc>
          <w:tcPr>
            <w:tcW w:w="40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63A5A702" w14:textId="458DB157" w:rsidR="001658FA" w:rsidRDefault="00A65BF3">
            <w:pPr>
              <w:jc w:val="center"/>
            </w:pPr>
            <w:r>
              <w:rPr>
                <w:sz w:val="19"/>
                <w:szCs w:val="19"/>
              </w:rPr>
              <w:t>CALCULATE (</w:t>
            </w:r>
            <w:r w:rsidR="00000000">
              <w:rPr>
                <w:sz w:val="19"/>
                <w:szCs w:val="19"/>
              </w:rPr>
              <w:t>COUNTROWS(...), amount &gt; 1000000)</w:t>
            </w:r>
          </w:p>
        </w:tc>
        <w:tc>
          <w:tcPr>
            <w:tcW w:w="32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6504EE30" w14:textId="77777777" w:rsidR="001658FA" w:rsidRDefault="00000000">
            <w:pPr>
              <w:jc w:val="center"/>
            </w:pPr>
            <w:r>
              <w:rPr>
                <w:sz w:val="19"/>
                <w:szCs w:val="19"/>
              </w:rPr>
              <w:t>Transactions above KES 1M</w:t>
            </w:r>
          </w:p>
        </w:tc>
      </w:tr>
      <w:tr w:rsidR="001658FA" w14:paraId="36E40A3F" w14:textId="77777777">
        <w:tc>
          <w:tcPr>
            <w:tcW w:w="26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729626F4" w14:textId="77777777" w:rsidR="001658FA" w:rsidRDefault="00000000">
            <w:pPr>
              <w:jc w:val="center"/>
            </w:pPr>
            <w:r>
              <w:rPr>
                <w:sz w:val="19"/>
                <w:szCs w:val="19"/>
              </w:rPr>
              <w:t>Value at Risk</w:t>
            </w:r>
          </w:p>
        </w:tc>
        <w:tc>
          <w:tcPr>
            <w:tcW w:w="404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056148E5" w14:textId="77F5FD2E" w:rsidR="001658FA" w:rsidRDefault="00A65BF3">
            <w:pPr>
              <w:jc w:val="center"/>
            </w:pPr>
            <w:r>
              <w:rPr>
                <w:sz w:val="19"/>
                <w:szCs w:val="19"/>
              </w:rPr>
              <w:t>CALCULATE (SUM (</w:t>
            </w:r>
            <w:r w:rsidR="00000000">
              <w:rPr>
                <w:sz w:val="19"/>
                <w:szCs w:val="19"/>
              </w:rPr>
              <w:t>...[amount]), amount &gt; 1000000)</w:t>
            </w:r>
          </w:p>
        </w:tc>
        <w:tc>
          <w:tcPr>
            <w:tcW w:w="32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00361C30" w14:textId="77777777" w:rsidR="001658FA" w:rsidRDefault="00000000">
            <w:pPr>
              <w:jc w:val="center"/>
            </w:pPr>
            <w:r>
              <w:rPr>
                <w:sz w:val="19"/>
                <w:szCs w:val="19"/>
              </w:rPr>
              <w:t>Total KES value of flagged txns</w:t>
            </w:r>
          </w:p>
        </w:tc>
      </w:tr>
      <w:tr w:rsidR="001658FA" w14:paraId="1C78CEE8" w14:textId="77777777">
        <w:tc>
          <w:tcPr>
            <w:tcW w:w="26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6569DE30" w14:textId="77777777" w:rsidR="001658FA" w:rsidRDefault="00000000">
            <w:pPr>
              <w:jc w:val="center"/>
            </w:pPr>
            <w:r>
              <w:rPr>
                <w:sz w:val="19"/>
                <w:szCs w:val="19"/>
              </w:rPr>
              <w:t>High Risk Customers</w:t>
            </w:r>
          </w:p>
        </w:tc>
        <w:tc>
          <w:tcPr>
            <w:tcW w:w="40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297DD4B8" w14:textId="378CD936" w:rsidR="001658FA" w:rsidRDefault="00A65BF3">
            <w:pPr>
              <w:jc w:val="center"/>
            </w:pPr>
            <w:r>
              <w:rPr>
                <w:sz w:val="19"/>
                <w:szCs w:val="19"/>
              </w:rPr>
              <w:t>CALCULATE (COUNTROWS (</w:t>
            </w:r>
            <w:r w:rsidR="00000000">
              <w:rPr>
                <w:sz w:val="19"/>
                <w:szCs w:val="19"/>
              </w:rPr>
              <w:t xml:space="preserve">'...customers'), </w:t>
            </w:r>
            <w:r>
              <w:rPr>
                <w:sz w:val="19"/>
                <w:szCs w:val="19"/>
              </w:rPr>
              <w:t>risk score</w:t>
            </w:r>
            <w:r w:rsidR="00000000">
              <w:rPr>
                <w:sz w:val="19"/>
                <w:szCs w:val="19"/>
              </w:rPr>
              <w:t xml:space="preserve"> &lt; 600)</w:t>
            </w:r>
          </w:p>
        </w:tc>
        <w:tc>
          <w:tcPr>
            <w:tcW w:w="32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5B56654B" w14:textId="77777777" w:rsidR="001658FA" w:rsidRDefault="00000000">
            <w:pPr>
              <w:jc w:val="center"/>
            </w:pPr>
            <w:r>
              <w:rPr>
                <w:sz w:val="19"/>
                <w:szCs w:val="19"/>
              </w:rPr>
              <w:t>Customers with score below 600</w:t>
            </w:r>
          </w:p>
        </w:tc>
      </w:tr>
      <w:tr w:rsidR="001658FA" w14:paraId="705D113C" w14:textId="77777777">
        <w:tc>
          <w:tcPr>
            <w:tcW w:w="26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61A659E5" w14:textId="77777777" w:rsidR="001658FA" w:rsidRDefault="00000000">
            <w:pPr>
              <w:jc w:val="center"/>
            </w:pPr>
            <w:r>
              <w:rPr>
                <w:sz w:val="19"/>
                <w:szCs w:val="19"/>
              </w:rPr>
              <w:t>Flagged Rate %</w:t>
            </w:r>
          </w:p>
        </w:tc>
        <w:tc>
          <w:tcPr>
            <w:tcW w:w="404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45D38833" w14:textId="203E96FB" w:rsidR="001658FA" w:rsidRDefault="00A65BF3">
            <w:pPr>
              <w:jc w:val="center"/>
            </w:pPr>
            <w:r>
              <w:rPr>
                <w:sz w:val="19"/>
                <w:szCs w:val="19"/>
              </w:rPr>
              <w:t>DIVIDE (</w:t>
            </w:r>
            <w:r w:rsidR="00000000">
              <w:rPr>
                <w:sz w:val="19"/>
                <w:szCs w:val="19"/>
              </w:rPr>
              <w:t>[High Value Transactions], [Total Transactions]) * 100</w:t>
            </w:r>
          </w:p>
        </w:tc>
        <w:tc>
          <w:tcPr>
            <w:tcW w:w="32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5F1CD67B" w14:textId="77777777" w:rsidR="001658FA" w:rsidRDefault="00000000">
            <w:pPr>
              <w:jc w:val="center"/>
            </w:pPr>
            <w:r>
              <w:rPr>
                <w:sz w:val="19"/>
                <w:szCs w:val="19"/>
              </w:rPr>
              <w:t>% of transactions flagged</w:t>
            </w:r>
          </w:p>
        </w:tc>
      </w:tr>
    </w:tbl>
    <w:p w14:paraId="3D6B21DC" w14:textId="77777777" w:rsidR="001658FA" w:rsidRDefault="00000000">
      <w:r>
        <w:br w:type="page"/>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
        <w:gridCol w:w="9825"/>
      </w:tblGrid>
      <w:tr w:rsidR="001658FA" w14:paraId="2D0BB8CA" w14:textId="77777777">
        <w:tc>
          <w:tcPr>
            <w:tcW w:w="0" w:type="auto"/>
            <w:tcBorders>
              <w:top w:val="none" w:sz="0" w:space="0" w:color="FFFFFF"/>
              <w:left w:val="none" w:sz="0" w:space="0" w:color="FFFFFF"/>
              <w:bottom w:val="none" w:sz="0" w:space="0" w:color="FFFFFF"/>
              <w:right w:val="none" w:sz="0" w:space="0" w:color="FFFFFF"/>
            </w:tcBorders>
            <w:shd w:val="clear" w:color="auto" w:fill="13B5A7"/>
            <w:tcMar>
              <w:top w:w="0" w:type="dxa"/>
              <w:left w:w="0" w:type="dxa"/>
              <w:bottom w:w="0" w:type="dxa"/>
              <w:right w:w="0" w:type="dxa"/>
            </w:tcMar>
          </w:tcPr>
          <w:p w14:paraId="51FEC086" w14:textId="77777777" w:rsidR="001658FA" w:rsidRDefault="001658FA"/>
        </w:tc>
        <w:tc>
          <w:tcPr>
            <w:tcW w:w="0" w:type="auto"/>
            <w:tcBorders>
              <w:top w:val="none" w:sz="0" w:space="0" w:color="FFFFFF"/>
              <w:left w:val="none" w:sz="0" w:space="0" w:color="FFFFFF"/>
              <w:bottom w:val="none" w:sz="0" w:space="0" w:color="FFFFFF"/>
              <w:right w:val="none" w:sz="0" w:space="0" w:color="FFFFFF"/>
            </w:tcBorders>
            <w:shd w:val="clear" w:color="auto" w:fill="0A3D3A"/>
            <w:tcMar>
              <w:top w:w="160" w:type="dxa"/>
              <w:left w:w="280" w:type="dxa"/>
              <w:bottom w:w="160" w:type="dxa"/>
              <w:right w:w="200" w:type="dxa"/>
            </w:tcMar>
          </w:tcPr>
          <w:p w14:paraId="352CB916" w14:textId="77777777" w:rsidR="001658FA" w:rsidRDefault="00000000">
            <w:pPr>
              <w:spacing w:after="40"/>
            </w:pPr>
            <w:r>
              <w:rPr>
                <w:b/>
                <w:bCs/>
                <w:color w:val="13B5A7"/>
                <w:sz w:val="16"/>
                <w:szCs w:val="16"/>
              </w:rPr>
              <w:t>SECTION 03</w:t>
            </w:r>
          </w:p>
          <w:p w14:paraId="0FC543C2" w14:textId="77777777" w:rsidR="001658FA" w:rsidRDefault="00000000">
            <w:pPr>
              <w:spacing w:after="40"/>
            </w:pPr>
            <w:r>
              <w:rPr>
                <w:b/>
                <w:bCs/>
                <w:color w:val="FFFFFF"/>
                <w:sz w:val="32"/>
                <w:szCs w:val="32"/>
              </w:rPr>
              <w:t>DASHBOARD PAGES</w:t>
            </w:r>
          </w:p>
          <w:p w14:paraId="1DC516E3" w14:textId="77777777" w:rsidR="001658FA" w:rsidRDefault="00000000">
            <w:r>
              <w:rPr>
                <w:i/>
                <w:iCs/>
                <w:color w:val="C8D8D6"/>
                <w:sz w:val="19"/>
                <w:szCs w:val="19"/>
              </w:rPr>
              <w:t>Three-page interactive monitoring system</w:t>
            </w:r>
          </w:p>
        </w:tc>
      </w:tr>
    </w:tbl>
    <w:p w14:paraId="35BCEB4F" w14:textId="77777777" w:rsidR="001658FA" w:rsidRDefault="001658FA">
      <w:pPr>
        <w:spacing w:after="16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
        <w:gridCol w:w="9834"/>
      </w:tblGrid>
      <w:tr w:rsidR="001658FA" w14:paraId="629E5D28" w14:textId="77777777">
        <w:tc>
          <w:tcPr>
            <w:tcW w:w="0" w:type="auto"/>
            <w:tcBorders>
              <w:top w:val="none" w:sz="0" w:space="0" w:color="FFFFFF"/>
              <w:left w:val="none" w:sz="0" w:space="0" w:color="FFFFFF"/>
              <w:bottom w:val="none" w:sz="0" w:space="0" w:color="FFFFFF"/>
              <w:right w:val="none" w:sz="0" w:space="0" w:color="FFFFFF"/>
            </w:tcBorders>
            <w:shd w:val="clear" w:color="auto" w:fill="13B5A7"/>
            <w:tcMar>
              <w:top w:w="0" w:type="dxa"/>
              <w:left w:w="0" w:type="dxa"/>
              <w:bottom w:w="0" w:type="dxa"/>
              <w:right w:w="0" w:type="dxa"/>
            </w:tcMar>
          </w:tcPr>
          <w:p w14:paraId="2B9C0BF1" w14:textId="77777777" w:rsidR="001658FA" w:rsidRDefault="001658FA"/>
        </w:tc>
        <w:tc>
          <w:tcPr>
            <w:tcW w:w="0" w:type="auto"/>
            <w:tcBorders>
              <w:top w:val="none" w:sz="0" w:space="0" w:color="FFFFFF"/>
              <w:left w:val="none" w:sz="0" w:space="0" w:color="FFFFFF"/>
              <w:bottom w:val="single" w:sz="4" w:space="0" w:color="EDF3F2"/>
              <w:right w:val="none" w:sz="0" w:space="0" w:color="FFFFFF"/>
            </w:tcBorders>
            <w:shd w:val="clear" w:color="auto" w:fill="F7FAF9"/>
            <w:tcMar>
              <w:top w:w="160" w:type="dxa"/>
              <w:left w:w="220" w:type="dxa"/>
              <w:bottom w:w="160" w:type="dxa"/>
              <w:right w:w="200" w:type="dxa"/>
            </w:tcMar>
          </w:tcPr>
          <w:p w14:paraId="1C82F904" w14:textId="77777777" w:rsidR="001658FA" w:rsidRDefault="00000000">
            <w:pPr>
              <w:spacing w:after="60"/>
            </w:pPr>
            <w:r>
              <w:rPr>
                <w:b/>
                <w:bCs/>
                <w:color w:val="13B5A7"/>
              </w:rPr>
              <w:t xml:space="preserve">Page 1  </w:t>
            </w:r>
            <w:r>
              <w:rPr>
                <w:b/>
                <w:bCs/>
              </w:rPr>
              <w:t>Fraud Detection Overview</w:t>
            </w:r>
          </w:p>
          <w:p w14:paraId="6797C779" w14:textId="77777777" w:rsidR="001658FA" w:rsidRDefault="00000000">
            <w:pPr>
              <w:spacing w:after="80"/>
            </w:pPr>
            <w:r>
              <w:rPr>
                <w:i/>
                <w:iCs/>
                <w:color w:val="627E7B"/>
                <w:sz w:val="19"/>
                <w:szCs w:val="19"/>
              </w:rPr>
              <w:t>Portfolio-level view of all transaction activity with KPI cards, city analysis and type breakdown</w:t>
            </w:r>
          </w:p>
          <w:p w14:paraId="44CC4F90" w14:textId="77777777" w:rsidR="001658FA" w:rsidRDefault="00000000">
            <w:pPr>
              <w:spacing w:after="40"/>
            </w:pPr>
            <w:r>
              <w:rPr>
                <w:b/>
                <w:bCs/>
                <w:color w:val="13B5A7"/>
                <w:sz w:val="19"/>
                <w:szCs w:val="19"/>
              </w:rPr>
              <w:t xml:space="preserve">→  </w:t>
            </w:r>
            <w:r>
              <w:rPr>
                <w:sz w:val="19"/>
                <w:szCs w:val="19"/>
              </w:rPr>
              <w:t>4 KPI Cards — Total Transactions (10), Total Value (KES 7.24M), High Value Transactions (2), Value at Risk (KES 2.60M)</w:t>
            </w:r>
          </w:p>
          <w:p w14:paraId="6D1522A6" w14:textId="77777777" w:rsidR="001658FA" w:rsidRDefault="00000000">
            <w:pPr>
              <w:spacing w:after="40"/>
            </w:pPr>
            <w:r>
              <w:rPr>
                <w:b/>
                <w:bCs/>
                <w:color w:val="13B5A7"/>
                <w:sz w:val="19"/>
                <w:szCs w:val="19"/>
              </w:rPr>
              <w:t xml:space="preserve">→  </w:t>
            </w:r>
            <w:r>
              <w:rPr>
                <w:sz w:val="19"/>
                <w:szCs w:val="19"/>
              </w:rPr>
              <w:t>Transaction Value by City (KES) — horizontal bar chart from vw_transaction_hotspots, sorted by value</w:t>
            </w:r>
          </w:p>
          <w:p w14:paraId="5EDF2440" w14:textId="77777777" w:rsidR="001658FA" w:rsidRDefault="00000000">
            <w:pPr>
              <w:spacing w:after="40"/>
            </w:pPr>
            <w:r>
              <w:rPr>
                <w:b/>
                <w:bCs/>
                <w:color w:val="13B5A7"/>
                <w:sz w:val="19"/>
                <w:szCs w:val="19"/>
              </w:rPr>
              <w:t xml:space="preserve">→  </w:t>
            </w:r>
            <w:r>
              <w:rPr>
                <w:sz w:val="19"/>
                <w:szCs w:val="19"/>
              </w:rPr>
              <w:t>Transaction Type Breakdown — donut chart showing Transfer (83.1%) vs Withdrawal (16.85%)</w:t>
            </w:r>
          </w:p>
          <w:p w14:paraId="317EA576" w14:textId="77777777" w:rsidR="001658FA" w:rsidRDefault="00000000">
            <w:pPr>
              <w:spacing w:after="40"/>
            </w:pPr>
            <w:r>
              <w:rPr>
                <w:b/>
                <w:bCs/>
                <w:color w:val="13B5A7"/>
                <w:sz w:val="19"/>
                <w:szCs w:val="19"/>
              </w:rPr>
              <w:t xml:space="preserve">→  </w:t>
            </w:r>
            <w:r>
              <w:rPr>
                <w:sz w:val="19"/>
                <w:szCs w:val="19"/>
              </w:rPr>
              <w:t>City Slicer — interactive filter enabling drill-down by geographic location</w:t>
            </w:r>
          </w:p>
        </w:tc>
      </w:tr>
    </w:tbl>
    <w:p w14:paraId="7068B7B2" w14:textId="77777777" w:rsidR="001658FA" w:rsidRDefault="001658FA">
      <w:pPr>
        <w:spacing w:after="16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
        <w:gridCol w:w="9834"/>
      </w:tblGrid>
      <w:tr w:rsidR="001658FA" w14:paraId="0ABED722" w14:textId="77777777">
        <w:tc>
          <w:tcPr>
            <w:tcW w:w="0" w:type="auto"/>
            <w:tcBorders>
              <w:top w:val="none" w:sz="0" w:space="0" w:color="FFFFFF"/>
              <w:left w:val="none" w:sz="0" w:space="0" w:color="FFFFFF"/>
              <w:bottom w:val="none" w:sz="0" w:space="0" w:color="FFFFFF"/>
              <w:right w:val="none" w:sz="0" w:space="0" w:color="FFFFFF"/>
            </w:tcBorders>
            <w:shd w:val="clear" w:color="auto" w:fill="D64045"/>
            <w:tcMar>
              <w:top w:w="0" w:type="dxa"/>
              <w:left w:w="0" w:type="dxa"/>
              <w:bottom w:w="0" w:type="dxa"/>
              <w:right w:w="0" w:type="dxa"/>
            </w:tcMar>
          </w:tcPr>
          <w:p w14:paraId="7C5C24A4" w14:textId="77777777" w:rsidR="001658FA" w:rsidRDefault="001658FA"/>
        </w:tc>
        <w:tc>
          <w:tcPr>
            <w:tcW w:w="0" w:type="auto"/>
            <w:tcBorders>
              <w:top w:val="none" w:sz="0" w:space="0" w:color="FFFFFF"/>
              <w:left w:val="none" w:sz="0" w:space="0" w:color="FFFFFF"/>
              <w:bottom w:val="single" w:sz="4" w:space="0" w:color="EDF3F2"/>
              <w:right w:val="none" w:sz="0" w:space="0" w:color="FFFFFF"/>
            </w:tcBorders>
            <w:shd w:val="clear" w:color="auto" w:fill="F7FAF9"/>
            <w:tcMar>
              <w:top w:w="160" w:type="dxa"/>
              <w:left w:w="220" w:type="dxa"/>
              <w:bottom w:w="160" w:type="dxa"/>
              <w:right w:w="200" w:type="dxa"/>
            </w:tcMar>
          </w:tcPr>
          <w:p w14:paraId="75F6A6E1" w14:textId="77777777" w:rsidR="001658FA" w:rsidRDefault="00000000">
            <w:pPr>
              <w:spacing w:after="60"/>
            </w:pPr>
            <w:r>
              <w:rPr>
                <w:b/>
                <w:bCs/>
                <w:color w:val="D64045"/>
              </w:rPr>
              <w:t xml:space="preserve">Page 2  </w:t>
            </w:r>
            <w:r>
              <w:rPr>
                <w:b/>
                <w:bCs/>
              </w:rPr>
              <w:t>Fraud Risk Signals</w:t>
            </w:r>
          </w:p>
          <w:p w14:paraId="126CF6F5" w14:textId="77777777" w:rsidR="001658FA" w:rsidRDefault="00000000">
            <w:pPr>
              <w:spacing w:after="80"/>
            </w:pPr>
            <w:r>
              <w:rPr>
                <w:i/>
                <w:iCs/>
                <w:color w:val="627E7B"/>
                <w:sz w:val="19"/>
                <w:szCs w:val="19"/>
              </w:rPr>
              <w:t>Detailed view of all flagged transactions, suspicious accounts and high-risk customer activity</w:t>
            </w:r>
          </w:p>
          <w:p w14:paraId="794ADA29" w14:textId="77777777" w:rsidR="001658FA" w:rsidRDefault="00000000">
            <w:pPr>
              <w:spacing w:after="40"/>
            </w:pPr>
            <w:r>
              <w:rPr>
                <w:b/>
                <w:bCs/>
                <w:color w:val="D64045"/>
                <w:sz w:val="19"/>
                <w:szCs w:val="19"/>
              </w:rPr>
              <w:t xml:space="preserve">→  </w:t>
            </w:r>
            <w:r>
              <w:rPr>
                <w:sz w:val="19"/>
                <w:szCs w:val="19"/>
              </w:rPr>
              <w:t>High Value Transactions table — from vw_suspicious_transactions, red conditional formatting on Amount (KES)</w:t>
            </w:r>
          </w:p>
          <w:p w14:paraId="47A049D6" w14:textId="77777777" w:rsidR="001658FA" w:rsidRDefault="00000000">
            <w:pPr>
              <w:spacing w:after="40"/>
            </w:pPr>
            <w:r>
              <w:rPr>
                <w:b/>
                <w:bCs/>
                <w:color w:val="D64045"/>
                <w:sz w:val="19"/>
                <w:szCs w:val="19"/>
              </w:rPr>
              <w:t xml:space="preserve">→  </w:t>
            </w:r>
            <w:r>
              <w:rPr>
                <w:sz w:val="19"/>
                <w:szCs w:val="19"/>
              </w:rPr>
              <w:t>Rapid Transfer Activity table — from vw_rapid_transfers, amber formatting on accounts with 3+ transfers</w:t>
            </w:r>
          </w:p>
          <w:p w14:paraId="6B3D62CB" w14:textId="77777777" w:rsidR="001658FA" w:rsidRDefault="00000000">
            <w:pPr>
              <w:spacing w:after="40"/>
            </w:pPr>
            <w:r>
              <w:rPr>
                <w:b/>
                <w:bCs/>
                <w:color w:val="D64045"/>
                <w:sz w:val="19"/>
                <w:szCs w:val="19"/>
              </w:rPr>
              <w:t xml:space="preserve">→  </w:t>
            </w:r>
            <w:r>
              <w:rPr>
                <w:sz w:val="19"/>
                <w:szCs w:val="19"/>
              </w:rPr>
              <w:t>High Risk Customer Transactions — from vw_high_risk_transactions, red dot on risk scores below 600</w:t>
            </w:r>
          </w:p>
          <w:p w14:paraId="2D03ED99" w14:textId="77777777" w:rsidR="001658FA" w:rsidRDefault="00000000">
            <w:pPr>
              <w:spacing w:after="40"/>
            </w:pPr>
            <w:r>
              <w:rPr>
                <w:b/>
                <w:bCs/>
                <w:color w:val="D64045"/>
                <w:sz w:val="19"/>
                <w:szCs w:val="19"/>
              </w:rPr>
              <w:t xml:space="preserve">→  </w:t>
            </w:r>
            <w:r>
              <w:rPr>
                <w:sz w:val="19"/>
                <w:szCs w:val="19"/>
              </w:rPr>
              <w:t>Transaction Hotspots by City — bar chart from vw_transaction_hotspots with data labels</w:t>
            </w:r>
          </w:p>
        </w:tc>
      </w:tr>
    </w:tbl>
    <w:p w14:paraId="564FF0F1" w14:textId="77777777" w:rsidR="001658FA" w:rsidRDefault="001658FA">
      <w:pPr>
        <w:spacing w:after="16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
        <w:gridCol w:w="9833"/>
      </w:tblGrid>
      <w:tr w:rsidR="001658FA" w14:paraId="09FDB96B" w14:textId="77777777">
        <w:tc>
          <w:tcPr>
            <w:tcW w:w="0" w:type="auto"/>
            <w:tcBorders>
              <w:top w:val="none" w:sz="0" w:space="0" w:color="FFFFFF"/>
              <w:left w:val="none" w:sz="0" w:space="0" w:color="FFFFFF"/>
              <w:bottom w:val="none" w:sz="0" w:space="0" w:color="FFFFFF"/>
              <w:right w:val="none" w:sz="0" w:space="0" w:color="FFFFFF"/>
            </w:tcBorders>
            <w:shd w:val="clear" w:color="auto" w:fill="E8892A"/>
            <w:tcMar>
              <w:top w:w="0" w:type="dxa"/>
              <w:left w:w="0" w:type="dxa"/>
              <w:bottom w:w="0" w:type="dxa"/>
              <w:right w:w="0" w:type="dxa"/>
            </w:tcMar>
          </w:tcPr>
          <w:p w14:paraId="53DB333A" w14:textId="77777777" w:rsidR="001658FA" w:rsidRDefault="001658FA"/>
        </w:tc>
        <w:tc>
          <w:tcPr>
            <w:tcW w:w="0" w:type="auto"/>
            <w:tcBorders>
              <w:top w:val="none" w:sz="0" w:space="0" w:color="FFFFFF"/>
              <w:left w:val="none" w:sz="0" w:space="0" w:color="FFFFFF"/>
              <w:bottom w:val="single" w:sz="4" w:space="0" w:color="EDF3F2"/>
              <w:right w:val="none" w:sz="0" w:space="0" w:color="FFFFFF"/>
            </w:tcBorders>
            <w:shd w:val="clear" w:color="auto" w:fill="F7FAF9"/>
            <w:tcMar>
              <w:top w:w="160" w:type="dxa"/>
              <w:left w:w="220" w:type="dxa"/>
              <w:bottom w:w="160" w:type="dxa"/>
              <w:right w:w="200" w:type="dxa"/>
            </w:tcMar>
          </w:tcPr>
          <w:p w14:paraId="1B492492" w14:textId="77777777" w:rsidR="001658FA" w:rsidRDefault="00000000">
            <w:pPr>
              <w:spacing w:after="60"/>
            </w:pPr>
            <w:r>
              <w:rPr>
                <w:b/>
                <w:bCs/>
                <w:color w:val="E8892A"/>
              </w:rPr>
              <w:t xml:space="preserve">Page 3  </w:t>
            </w:r>
            <w:r>
              <w:rPr>
                <w:b/>
                <w:bCs/>
              </w:rPr>
              <w:t>Customer Risk Monitoring</w:t>
            </w:r>
          </w:p>
          <w:p w14:paraId="600CA91D" w14:textId="77777777" w:rsidR="001658FA" w:rsidRDefault="00000000">
            <w:pPr>
              <w:spacing w:after="80"/>
            </w:pPr>
            <w:r>
              <w:rPr>
                <w:i/>
                <w:iCs/>
                <w:color w:val="627E7B"/>
                <w:sz w:val="19"/>
                <w:szCs w:val="19"/>
              </w:rPr>
              <w:t>Customer-level risk profiling with colour-coded risk score distribution and risk register</w:t>
            </w:r>
          </w:p>
          <w:p w14:paraId="60C0A097" w14:textId="77777777" w:rsidR="001658FA" w:rsidRDefault="00000000">
            <w:pPr>
              <w:spacing w:after="40"/>
            </w:pPr>
            <w:r>
              <w:rPr>
                <w:b/>
                <w:bCs/>
                <w:color w:val="E8892A"/>
                <w:sz w:val="19"/>
                <w:szCs w:val="19"/>
              </w:rPr>
              <w:t xml:space="preserve">→  </w:t>
            </w:r>
            <w:r>
              <w:rPr>
                <w:sz w:val="19"/>
                <w:szCs w:val="19"/>
              </w:rPr>
              <w:t>Customer Risk Score Distribution — horizontal bar chart with 3-tier colour coding (red/amber/teal)</w:t>
            </w:r>
          </w:p>
          <w:p w14:paraId="58DD9FA3" w14:textId="77777777" w:rsidR="001658FA" w:rsidRDefault="00000000">
            <w:pPr>
              <w:spacing w:after="40"/>
            </w:pPr>
            <w:r>
              <w:rPr>
                <w:b/>
                <w:bCs/>
                <w:color w:val="E8892A"/>
                <w:sz w:val="19"/>
                <w:szCs w:val="19"/>
              </w:rPr>
              <w:t xml:space="preserve">→  </w:t>
            </w:r>
            <w:r>
              <w:rPr>
                <w:sz w:val="19"/>
                <w:szCs w:val="19"/>
              </w:rPr>
              <w:t>High Risk Customers KPI Card — shows count of customers with risk score below 600</w:t>
            </w:r>
          </w:p>
          <w:p w14:paraId="494227CD" w14:textId="77777777" w:rsidR="001658FA" w:rsidRDefault="00000000">
            <w:pPr>
              <w:spacing w:after="40"/>
            </w:pPr>
            <w:r>
              <w:rPr>
                <w:b/>
                <w:bCs/>
                <w:color w:val="E8892A"/>
                <w:sz w:val="19"/>
                <w:szCs w:val="19"/>
              </w:rPr>
              <w:t xml:space="preserve">→  </w:t>
            </w:r>
            <w:r>
              <w:rPr>
                <w:sz w:val="19"/>
                <w:szCs w:val="19"/>
              </w:rPr>
              <w:t>Customer Risk Register — full customer table with conditional formatting on risk scores</w:t>
            </w:r>
          </w:p>
        </w:tc>
      </w:tr>
    </w:tbl>
    <w:p w14:paraId="65BEFE75" w14:textId="77777777" w:rsidR="001658FA" w:rsidRDefault="001658FA">
      <w:pPr>
        <w:spacing w:after="22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
        <w:gridCol w:w="9823"/>
      </w:tblGrid>
      <w:tr w:rsidR="001658FA" w14:paraId="69C47D06" w14:textId="77777777">
        <w:tc>
          <w:tcPr>
            <w:tcW w:w="0" w:type="auto"/>
            <w:tcBorders>
              <w:top w:val="none" w:sz="0" w:space="0" w:color="FFFFFF"/>
              <w:left w:val="none" w:sz="0" w:space="0" w:color="FFFFFF"/>
              <w:bottom w:val="none" w:sz="0" w:space="0" w:color="FFFFFF"/>
              <w:right w:val="none" w:sz="0" w:space="0" w:color="FFFFFF"/>
            </w:tcBorders>
            <w:shd w:val="clear" w:color="auto" w:fill="13B5A7"/>
            <w:tcMar>
              <w:top w:w="0" w:type="dxa"/>
              <w:left w:w="0" w:type="dxa"/>
              <w:bottom w:w="0" w:type="dxa"/>
              <w:right w:w="0" w:type="dxa"/>
            </w:tcMar>
          </w:tcPr>
          <w:p w14:paraId="6B34BE5F" w14:textId="77777777" w:rsidR="001658FA" w:rsidRDefault="001658FA"/>
        </w:tc>
        <w:tc>
          <w:tcPr>
            <w:tcW w:w="0" w:type="auto"/>
            <w:tcBorders>
              <w:top w:val="none" w:sz="0" w:space="0" w:color="FFFFFF"/>
              <w:left w:val="none" w:sz="0" w:space="0" w:color="FFFFFF"/>
              <w:bottom w:val="none" w:sz="0" w:space="0" w:color="FFFFFF"/>
              <w:right w:val="none" w:sz="0" w:space="0" w:color="FFFFFF"/>
            </w:tcBorders>
            <w:shd w:val="clear" w:color="auto" w:fill="0A3D3A"/>
            <w:tcMar>
              <w:top w:w="160" w:type="dxa"/>
              <w:left w:w="280" w:type="dxa"/>
              <w:bottom w:w="160" w:type="dxa"/>
              <w:right w:w="200" w:type="dxa"/>
            </w:tcMar>
          </w:tcPr>
          <w:p w14:paraId="6178239E" w14:textId="77777777" w:rsidR="001658FA" w:rsidRDefault="00000000">
            <w:pPr>
              <w:spacing w:after="40"/>
            </w:pPr>
            <w:r>
              <w:rPr>
                <w:b/>
                <w:bCs/>
                <w:color w:val="13B5A7"/>
                <w:sz w:val="16"/>
                <w:szCs w:val="16"/>
              </w:rPr>
              <w:t>SECTION 04</w:t>
            </w:r>
          </w:p>
          <w:p w14:paraId="58FB4DD2" w14:textId="77777777" w:rsidR="001658FA" w:rsidRDefault="00000000">
            <w:pPr>
              <w:spacing w:after="40"/>
            </w:pPr>
            <w:r>
              <w:rPr>
                <w:b/>
                <w:bCs/>
                <w:color w:val="FFFFFF"/>
                <w:sz w:val="32"/>
                <w:szCs w:val="32"/>
              </w:rPr>
              <w:t>KEY FINDINGS</w:t>
            </w:r>
          </w:p>
          <w:p w14:paraId="3BE560EF" w14:textId="77777777" w:rsidR="001658FA" w:rsidRDefault="00000000">
            <w:r>
              <w:rPr>
                <w:i/>
                <w:iCs/>
                <w:color w:val="C8D8D6"/>
                <w:sz w:val="19"/>
                <w:szCs w:val="19"/>
              </w:rPr>
              <w:t>Insights surfaced by the dashboard</w:t>
            </w:r>
          </w:p>
        </w:tc>
      </w:tr>
    </w:tbl>
    <w:p w14:paraId="31FD44F8" w14:textId="77777777" w:rsidR="001658FA" w:rsidRDefault="001658FA">
      <w:pPr>
        <w:spacing w:after="16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440"/>
        <w:gridCol w:w="2600"/>
      </w:tblGrid>
      <w:tr w:rsidR="001658FA" w14:paraId="0EFD9B6B" w14:textId="77777777">
        <w:trPr>
          <w:tblHeader/>
        </w:trPr>
        <w:tc>
          <w:tcPr>
            <w:tcW w:w="280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5C4BA640" w14:textId="77777777" w:rsidR="001658FA" w:rsidRDefault="00000000">
            <w:pPr>
              <w:jc w:val="center"/>
            </w:pPr>
            <w:r>
              <w:rPr>
                <w:b/>
                <w:bCs/>
                <w:color w:val="FFFFFF"/>
                <w:sz w:val="19"/>
                <w:szCs w:val="19"/>
              </w:rPr>
              <w:t>Finding</w:t>
            </w:r>
          </w:p>
        </w:tc>
        <w:tc>
          <w:tcPr>
            <w:tcW w:w="444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5D35BC04" w14:textId="77777777" w:rsidR="001658FA" w:rsidRDefault="00000000">
            <w:pPr>
              <w:jc w:val="center"/>
            </w:pPr>
            <w:r>
              <w:rPr>
                <w:b/>
                <w:bCs/>
                <w:color w:val="FFFFFF"/>
                <w:sz w:val="19"/>
                <w:szCs w:val="19"/>
              </w:rPr>
              <w:t>Detail</w:t>
            </w:r>
          </w:p>
        </w:tc>
        <w:tc>
          <w:tcPr>
            <w:tcW w:w="2600" w:type="dxa"/>
            <w:tcBorders>
              <w:top w:val="single" w:sz="6" w:space="0" w:color="13B5A7"/>
              <w:left w:val="single" w:sz="2" w:space="0" w:color="0D5C55"/>
              <w:bottom w:val="single" w:sz="4" w:space="0" w:color="13B5A7"/>
              <w:right w:val="single" w:sz="2" w:space="0" w:color="0D5C55"/>
            </w:tcBorders>
            <w:shd w:val="clear" w:color="auto" w:fill="0D5C55"/>
            <w:tcMar>
              <w:top w:w="100" w:type="dxa"/>
              <w:left w:w="160" w:type="dxa"/>
              <w:bottom w:w="100" w:type="dxa"/>
              <w:right w:w="160" w:type="dxa"/>
            </w:tcMar>
            <w:vAlign w:val="center"/>
          </w:tcPr>
          <w:p w14:paraId="717ACC54" w14:textId="77777777" w:rsidR="001658FA" w:rsidRDefault="00000000">
            <w:pPr>
              <w:jc w:val="center"/>
            </w:pPr>
            <w:r>
              <w:rPr>
                <w:b/>
                <w:bCs/>
                <w:color w:val="FFFFFF"/>
                <w:sz w:val="19"/>
                <w:szCs w:val="19"/>
              </w:rPr>
              <w:t>Risk Level</w:t>
            </w:r>
          </w:p>
        </w:tc>
      </w:tr>
      <w:tr w:rsidR="001658FA" w14:paraId="55F59B28" w14:textId="77777777">
        <w:tc>
          <w:tcPr>
            <w:tcW w:w="28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324016BD" w14:textId="77777777" w:rsidR="001658FA" w:rsidRDefault="00000000">
            <w:pPr>
              <w:jc w:val="center"/>
            </w:pPr>
            <w:r>
              <w:rPr>
                <w:sz w:val="19"/>
                <w:szCs w:val="19"/>
              </w:rPr>
              <w:t>High-Value Transactions</w:t>
            </w:r>
          </w:p>
        </w:tc>
        <w:tc>
          <w:tcPr>
            <w:tcW w:w="44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5FB51358" w14:textId="77777777" w:rsidR="001658FA" w:rsidRDefault="00000000">
            <w:pPr>
              <w:jc w:val="center"/>
            </w:pPr>
            <w:r>
              <w:rPr>
                <w:sz w:val="19"/>
                <w:szCs w:val="19"/>
              </w:rPr>
              <w:t>2 transactions exceeded KES 1M — Thika (1.5M) &amp; Mombasa (1.1M)</w:t>
            </w:r>
          </w:p>
        </w:tc>
        <w:tc>
          <w:tcPr>
            <w:tcW w:w="26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40B40A22" w14:textId="77777777" w:rsidR="001658FA" w:rsidRDefault="00000000">
            <w:pPr>
              <w:jc w:val="center"/>
            </w:pPr>
            <w:r>
              <w:rPr>
                <w:sz w:val="19"/>
                <w:szCs w:val="19"/>
              </w:rPr>
              <w:t>🔴 High</w:t>
            </w:r>
          </w:p>
        </w:tc>
      </w:tr>
      <w:tr w:rsidR="001658FA" w14:paraId="3B803F05" w14:textId="77777777">
        <w:tc>
          <w:tcPr>
            <w:tcW w:w="28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4A4E4172" w14:textId="77777777" w:rsidR="001658FA" w:rsidRDefault="00000000">
            <w:pPr>
              <w:jc w:val="center"/>
            </w:pPr>
            <w:r>
              <w:rPr>
                <w:sz w:val="19"/>
                <w:szCs w:val="19"/>
              </w:rPr>
              <w:t>Rapid Transfer Activity</w:t>
            </w:r>
          </w:p>
        </w:tc>
        <w:tc>
          <w:tcPr>
            <w:tcW w:w="444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37318C2E" w14:textId="77777777" w:rsidR="001658FA" w:rsidRDefault="00000000">
            <w:pPr>
              <w:jc w:val="center"/>
            </w:pPr>
            <w:r>
              <w:rPr>
                <w:sz w:val="19"/>
                <w:szCs w:val="19"/>
              </w:rPr>
              <w:t>Account 1002 performed 3+ transfers — flagged for investigation</w:t>
            </w:r>
          </w:p>
        </w:tc>
        <w:tc>
          <w:tcPr>
            <w:tcW w:w="26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02DB8B6B" w14:textId="77777777" w:rsidR="001658FA" w:rsidRDefault="00000000">
            <w:pPr>
              <w:jc w:val="center"/>
            </w:pPr>
            <w:r>
              <w:rPr>
                <w:sz w:val="19"/>
                <w:szCs w:val="19"/>
              </w:rPr>
              <w:t>🟠 Medium</w:t>
            </w:r>
          </w:p>
        </w:tc>
      </w:tr>
      <w:tr w:rsidR="001658FA" w14:paraId="3EBFC6DF" w14:textId="77777777">
        <w:tc>
          <w:tcPr>
            <w:tcW w:w="28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41FE70AB" w14:textId="77777777" w:rsidR="001658FA" w:rsidRDefault="00000000">
            <w:pPr>
              <w:jc w:val="center"/>
            </w:pPr>
            <w:r>
              <w:rPr>
                <w:sz w:val="19"/>
                <w:szCs w:val="19"/>
              </w:rPr>
              <w:t>High-Risk Customer</w:t>
            </w:r>
          </w:p>
        </w:tc>
        <w:tc>
          <w:tcPr>
            <w:tcW w:w="44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59353666" w14:textId="77777777" w:rsidR="001658FA" w:rsidRDefault="00000000">
            <w:pPr>
              <w:jc w:val="center"/>
            </w:pPr>
            <w:r>
              <w:rPr>
                <w:sz w:val="19"/>
                <w:szCs w:val="19"/>
              </w:rPr>
              <w:t>Esther Achieng (score 560) transacted KES 1.1M — dual risk flag</w:t>
            </w:r>
          </w:p>
        </w:tc>
        <w:tc>
          <w:tcPr>
            <w:tcW w:w="26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6974BE92" w14:textId="77777777" w:rsidR="001658FA" w:rsidRDefault="00000000">
            <w:pPr>
              <w:jc w:val="center"/>
            </w:pPr>
            <w:r>
              <w:rPr>
                <w:sz w:val="19"/>
                <w:szCs w:val="19"/>
              </w:rPr>
              <w:t>🔴 High</w:t>
            </w:r>
          </w:p>
        </w:tc>
      </w:tr>
      <w:tr w:rsidR="001658FA" w14:paraId="385E9AE9" w14:textId="77777777">
        <w:tc>
          <w:tcPr>
            <w:tcW w:w="28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5E3D3F10" w14:textId="77777777" w:rsidR="001658FA" w:rsidRDefault="00000000">
            <w:pPr>
              <w:jc w:val="center"/>
            </w:pPr>
            <w:r>
              <w:rPr>
                <w:sz w:val="19"/>
                <w:szCs w:val="19"/>
              </w:rPr>
              <w:t>Geographic Hotspot</w:t>
            </w:r>
          </w:p>
        </w:tc>
        <w:tc>
          <w:tcPr>
            <w:tcW w:w="444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6EA931C9" w14:textId="77777777" w:rsidR="001658FA" w:rsidRDefault="00000000">
            <w:pPr>
              <w:jc w:val="center"/>
            </w:pPr>
            <w:r>
              <w:rPr>
                <w:sz w:val="19"/>
                <w:szCs w:val="19"/>
              </w:rPr>
              <w:t>Mombasa leads with KES 2.02M total — highest transaction concentration</w:t>
            </w:r>
          </w:p>
        </w:tc>
        <w:tc>
          <w:tcPr>
            <w:tcW w:w="26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6BE7D837" w14:textId="77777777" w:rsidR="001658FA" w:rsidRDefault="00000000">
            <w:pPr>
              <w:jc w:val="center"/>
            </w:pPr>
            <w:r>
              <w:rPr>
                <w:sz w:val="19"/>
                <w:szCs w:val="19"/>
              </w:rPr>
              <w:t>🟠 Monitor</w:t>
            </w:r>
          </w:p>
        </w:tc>
      </w:tr>
      <w:tr w:rsidR="001658FA" w14:paraId="1CEE09F6" w14:textId="77777777">
        <w:tc>
          <w:tcPr>
            <w:tcW w:w="28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2069A9E6" w14:textId="77777777" w:rsidR="001658FA" w:rsidRDefault="00000000">
            <w:pPr>
              <w:jc w:val="center"/>
            </w:pPr>
            <w:r>
              <w:rPr>
                <w:sz w:val="19"/>
                <w:szCs w:val="19"/>
              </w:rPr>
              <w:lastRenderedPageBreak/>
              <w:t>No Distributed Fraud</w:t>
            </w:r>
          </w:p>
        </w:tc>
        <w:tc>
          <w:tcPr>
            <w:tcW w:w="444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10A79A73" w14:textId="77777777" w:rsidR="001658FA" w:rsidRDefault="00000000">
            <w:pPr>
              <w:jc w:val="center"/>
            </w:pPr>
            <w:r>
              <w:rPr>
                <w:sz w:val="19"/>
                <w:szCs w:val="19"/>
              </w:rPr>
              <w:t>No account exceeded 3 distinct recipients — no ring pattern detected</w:t>
            </w:r>
          </w:p>
        </w:tc>
        <w:tc>
          <w:tcPr>
            <w:tcW w:w="2600" w:type="dxa"/>
            <w:tcBorders>
              <w:top w:val="single" w:sz="3" w:space="0" w:color="C8D8D6"/>
              <w:left w:val="single" w:sz="3" w:space="0" w:color="C8D8D6"/>
              <w:bottom w:val="single" w:sz="3" w:space="0" w:color="C8D8D6"/>
              <w:right w:val="single" w:sz="3" w:space="0" w:color="C8D8D6"/>
            </w:tcBorders>
            <w:shd w:val="clear" w:color="auto" w:fill="F7FAF9"/>
            <w:tcMar>
              <w:top w:w="80" w:type="dxa"/>
              <w:left w:w="160" w:type="dxa"/>
              <w:bottom w:w="80" w:type="dxa"/>
              <w:right w:w="160" w:type="dxa"/>
            </w:tcMar>
            <w:vAlign w:val="center"/>
          </w:tcPr>
          <w:p w14:paraId="08DCE29B" w14:textId="77777777" w:rsidR="001658FA" w:rsidRDefault="00000000">
            <w:pPr>
              <w:jc w:val="center"/>
            </w:pPr>
            <w:r>
              <w:rPr>
                <w:sz w:val="19"/>
                <w:szCs w:val="19"/>
              </w:rPr>
              <w:t>🟢 Clear</w:t>
            </w:r>
          </w:p>
        </w:tc>
      </w:tr>
      <w:tr w:rsidR="001658FA" w14:paraId="79A8AE3D" w14:textId="77777777">
        <w:tc>
          <w:tcPr>
            <w:tcW w:w="28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7300D7F0" w14:textId="77777777" w:rsidR="001658FA" w:rsidRDefault="00000000">
            <w:pPr>
              <w:jc w:val="center"/>
            </w:pPr>
            <w:r>
              <w:rPr>
                <w:sz w:val="19"/>
                <w:szCs w:val="19"/>
              </w:rPr>
              <w:t>Portfolio Overview</w:t>
            </w:r>
          </w:p>
        </w:tc>
        <w:tc>
          <w:tcPr>
            <w:tcW w:w="444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02690D86" w14:textId="77777777" w:rsidR="001658FA" w:rsidRDefault="00000000">
            <w:pPr>
              <w:jc w:val="center"/>
            </w:pPr>
            <w:r>
              <w:rPr>
                <w:sz w:val="19"/>
                <w:szCs w:val="19"/>
              </w:rPr>
              <w:t>KES 2.60M of KES 7.24M total is at risk — 35.9% exposure rate</w:t>
            </w:r>
          </w:p>
        </w:tc>
        <w:tc>
          <w:tcPr>
            <w:tcW w:w="2600" w:type="dxa"/>
            <w:tcBorders>
              <w:top w:val="single" w:sz="3" w:space="0" w:color="C8D8D6"/>
              <w:left w:val="single" w:sz="3" w:space="0" w:color="C8D8D6"/>
              <w:bottom w:val="single" w:sz="3" w:space="0" w:color="C8D8D6"/>
              <w:right w:val="single" w:sz="3" w:space="0" w:color="C8D8D6"/>
            </w:tcBorders>
            <w:shd w:val="clear" w:color="auto" w:fill="EDF3F2"/>
            <w:tcMar>
              <w:top w:w="80" w:type="dxa"/>
              <w:left w:w="160" w:type="dxa"/>
              <w:bottom w:w="80" w:type="dxa"/>
              <w:right w:w="160" w:type="dxa"/>
            </w:tcMar>
            <w:vAlign w:val="center"/>
          </w:tcPr>
          <w:p w14:paraId="1338808F" w14:textId="77777777" w:rsidR="001658FA" w:rsidRDefault="00000000">
            <w:pPr>
              <w:jc w:val="center"/>
            </w:pPr>
            <w:r>
              <w:rPr>
                <w:sz w:val="19"/>
                <w:szCs w:val="19"/>
              </w:rPr>
              <w:t>🔴 High</w:t>
            </w:r>
          </w:p>
        </w:tc>
      </w:tr>
    </w:tbl>
    <w:p w14:paraId="57314528" w14:textId="77777777" w:rsidR="001658FA" w:rsidRDefault="001658FA">
      <w:pPr>
        <w:spacing w:after="18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0"/>
      </w:tblGrid>
      <w:tr w:rsidR="001658FA" w14:paraId="4A06FE09" w14:textId="77777777">
        <w:tc>
          <w:tcPr>
            <w:tcW w:w="0" w:type="auto"/>
            <w:tcBorders>
              <w:top w:val="single" w:sz="4" w:space="0" w:color="10847A"/>
              <w:left w:val="single" w:sz="24" w:space="0" w:color="10847A"/>
              <w:bottom w:val="single" w:sz="4" w:space="0" w:color="10847A"/>
              <w:right w:val="single" w:sz="4" w:space="0" w:color="10847A"/>
            </w:tcBorders>
            <w:shd w:val="clear" w:color="auto" w:fill="EDF3F2"/>
            <w:tcMar>
              <w:top w:w="140" w:type="dxa"/>
              <w:left w:w="260" w:type="dxa"/>
              <w:bottom w:w="140" w:type="dxa"/>
              <w:right w:w="260" w:type="dxa"/>
            </w:tcMar>
          </w:tcPr>
          <w:p w14:paraId="1836F80F" w14:textId="4EADF9C3" w:rsidR="001658FA" w:rsidRDefault="00A65BF3">
            <w:pPr>
              <w:spacing w:after="60"/>
            </w:pPr>
            <w:r>
              <w:rPr>
                <w:rFonts w:ascii="Segoe UI Emoji" w:hAnsi="Segoe UI Emoji" w:cs="Segoe UI Emoji"/>
                <w:b/>
                <w:bCs/>
                <w:color w:val="10847A"/>
                <w:sz w:val="20"/>
                <w:szCs w:val="20"/>
              </w:rPr>
              <w:t>💡</w:t>
            </w:r>
            <w:r>
              <w:rPr>
                <w:b/>
                <w:bCs/>
                <w:color w:val="10847A"/>
                <w:sz w:val="20"/>
                <w:szCs w:val="20"/>
              </w:rPr>
              <w:t xml:space="preserve"> Portfolio</w:t>
            </w:r>
            <w:r w:rsidR="00000000">
              <w:rPr>
                <w:b/>
                <w:bCs/>
                <w:color w:val="10847A"/>
                <w:sz w:val="20"/>
                <w:szCs w:val="20"/>
              </w:rPr>
              <w:t xml:space="preserve"> Risk Summary</w:t>
            </w:r>
          </w:p>
          <w:p w14:paraId="0FD719D7" w14:textId="3627234F" w:rsidR="001658FA" w:rsidRDefault="00000000">
            <w:r>
              <w:rPr>
                <w:sz w:val="20"/>
                <w:szCs w:val="20"/>
              </w:rPr>
              <w:t>The dashboard identifies KES 2.60M in flagged transaction value out of a total KES 7.24M portfolio</w:t>
            </w:r>
            <w:r w:rsidR="00A65BF3">
              <w:rPr>
                <w:sz w:val="20"/>
                <w:szCs w:val="20"/>
              </w:rPr>
              <w:t xml:space="preserve">, </w:t>
            </w:r>
            <w:r>
              <w:rPr>
                <w:sz w:val="20"/>
                <w:szCs w:val="20"/>
              </w:rPr>
              <w:t>a 35.9% exposure rate. The combination of high-value transaction detection, rapid transfer monitoring, and risk score profiling creates a multi-layered fraud detection system that financial institutions can use for continuous monitoring.</w:t>
            </w:r>
          </w:p>
        </w:tc>
      </w:tr>
    </w:tbl>
    <w:p w14:paraId="094C6A34" w14:textId="77777777" w:rsidR="001658FA" w:rsidRDefault="001658FA">
      <w:pPr>
        <w:spacing w:after="22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
        <w:gridCol w:w="9828"/>
      </w:tblGrid>
      <w:tr w:rsidR="001658FA" w14:paraId="47A2A18B" w14:textId="77777777">
        <w:tc>
          <w:tcPr>
            <w:tcW w:w="0" w:type="auto"/>
            <w:tcBorders>
              <w:top w:val="none" w:sz="0" w:space="0" w:color="FFFFFF"/>
              <w:left w:val="none" w:sz="0" w:space="0" w:color="FFFFFF"/>
              <w:bottom w:val="none" w:sz="0" w:space="0" w:color="FFFFFF"/>
              <w:right w:val="none" w:sz="0" w:space="0" w:color="FFFFFF"/>
            </w:tcBorders>
            <w:shd w:val="clear" w:color="auto" w:fill="13B5A7"/>
            <w:tcMar>
              <w:top w:w="0" w:type="dxa"/>
              <w:left w:w="0" w:type="dxa"/>
              <w:bottom w:w="0" w:type="dxa"/>
              <w:right w:w="0" w:type="dxa"/>
            </w:tcMar>
          </w:tcPr>
          <w:p w14:paraId="5392F294" w14:textId="77777777" w:rsidR="001658FA" w:rsidRDefault="001658FA"/>
        </w:tc>
        <w:tc>
          <w:tcPr>
            <w:tcW w:w="0" w:type="auto"/>
            <w:tcBorders>
              <w:top w:val="none" w:sz="0" w:space="0" w:color="FFFFFF"/>
              <w:left w:val="none" w:sz="0" w:space="0" w:color="FFFFFF"/>
              <w:bottom w:val="none" w:sz="0" w:space="0" w:color="FFFFFF"/>
              <w:right w:val="none" w:sz="0" w:space="0" w:color="FFFFFF"/>
            </w:tcBorders>
            <w:shd w:val="clear" w:color="auto" w:fill="0A3D3A"/>
            <w:tcMar>
              <w:top w:w="160" w:type="dxa"/>
              <w:left w:w="280" w:type="dxa"/>
              <w:bottom w:w="160" w:type="dxa"/>
              <w:right w:w="200" w:type="dxa"/>
            </w:tcMar>
          </w:tcPr>
          <w:p w14:paraId="4770FF9E" w14:textId="77777777" w:rsidR="001658FA" w:rsidRDefault="00000000">
            <w:pPr>
              <w:spacing w:after="40"/>
            </w:pPr>
            <w:r>
              <w:rPr>
                <w:b/>
                <w:bCs/>
                <w:color w:val="13B5A7"/>
                <w:sz w:val="16"/>
                <w:szCs w:val="16"/>
              </w:rPr>
              <w:t>SECTION 05</w:t>
            </w:r>
          </w:p>
          <w:p w14:paraId="550B20CC" w14:textId="77777777" w:rsidR="001658FA" w:rsidRDefault="00000000">
            <w:pPr>
              <w:spacing w:after="40"/>
            </w:pPr>
            <w:r>
              <w:rPr>
                <w:b/>
                <w:bCs/>
                <w:color w:val="FFFFFF"/>
                <w:sz w:val="32"/>
                <w:szCs w:val="32"/>
              </w:rPr>
              <w:t>DESIGN &amp; METHODOLOGY</w:t>
            </w:r>
          </w:p>
          <w:p w14:paraId="26F60821" w14:textId="77777777" w:rsidR="001658FA" w:rsidRDefault="00000000">
            <w:r>
              <w:rPr>
                <w:i/>
                <w:iCs/>
                <w:color w:val="C8D8D6"/>
                <w:sz w:val="19"/>
                <w:szCs w:val="19"/>
              </w:rPr>
              <w:t>Dashboard design decisions and technical approach</w:t>
            </w:r>
          </w:p>
        </w:tc>
      </w:tr>
    </w:tbl>
    <w:p w14:paraId="451C3D3E" w14:textId="77777777" w:rsidR="001658FA" w:rsidRDefault="001658FA">
      <w:pPr>
        <w:spacing w:after="16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0"/>
      </w:tblGrid>
      <w:tr w:rsidR="001658FA" w14:paraId="5BD7ED44" w14:textId="77777777">
        <w:tc>
          <w:tcPr>
            <w:tcW w:w="0" w:type="auto"/>
            <w:tcBorders>
              <w:top w:val="none" w:sz="0" w:space="0" w:color="FFFFFF"/>
              <w:left w:val="none" w:sz="0" w:space="0" w:color="FFFFFF"/>
              <w:bottom w:val="none" w:sz="0" w:space="0" w:color="FFFFFF"/>
              <w:right w:val="none" w:sz="0" w:space="0" w:color="FFFFFF"/>
            </w:tcBorders>
            <w:shd w:val="clear" w:color="auto" w:fill="0D5C55"/>
            <w:tcMar>
              <w:top w:w="80" w:type="dxa"/>
              <w:left w:w="200" w:type="dxa"/>
              <w:bottom w:w="80" w:type="dxa"/>
              <w:right w:w="200" w:type="dxa"/>
            </w:tcMar>
          </w:tcPr>
          <w:p w14:paraId="67665501" w14:textId="6012EFC1" w:rsidR="001658FA" w:rsidRDefault="00A65BF3">
            <w:r>
              <w:rPr>
                <w:rFonts w:ascii="Segoe UI Emoji" w:hAnsi="Segoe UI Emoji" w:cs="Segoe UI Emoji"/>
                <w:b/>
                <w:bCs/>
                <w:color w:val="FFFFFF"/>
                <w:sz w:val="20"/>
                <w:szCs w:val="20"/>
              </w:rPr>
              <w:t>🎨</w:t>
            </w:r>
            <w:r>
              <w:rPr>
                <w:b/>
                <w:bCs/>
                <w:color w:val="FFFFFF"/>
                <w:sz w:val="20"/>
                <w:szCs w:val="20"/>
              </w:rPr>
              <w:t xml:space="preserve"> Design</w:t>
            </w:r>
            <w:r w:rsidR="00000000">
              <w:rPr>
                <w:b/>
                <w:bCs/>
                <w:color w:val="FFFFFF"/>
                <w:sz w:val="20"/>
                <w:szCs w:val="20"/>
              </w:rPr>
              <w:t xml:space="preserve"> Choices</w:t>
            </w:r>
          </w:p>
        </w:tc>
      </w:tr>
      <w:tr w:rsidR="001658FA" w14:paraId="2400734B" w14:textId="77777777">
        <w:tc>
          <w:tcPr>
            <w:tcW w:w="0" w:type="auto"/>
            <w:tcBorders>
              <w:top w:val="none" w:sz="0" w:space="0" w:color="FFFFFF"/>
              <w:left w:val="single" w:sz="4" w:space="0" w:color="0D5C55"/>
              <w:bottom w:val="single" w:sz="4" w:space="0" w:color="0D5C55"/>
              <w:right w:val="single" w:sz="4" w:space="0" w:color="0D5C55"/>
            </w:tcBorders>
            <w:shd w:val="clear" w:color="auto" w:fill="E0F7FA"/>
            <w:tcMar>
              <w:top w:w="140" w:type="dxa"/>
              <w:left w:w="200" w:type="dxa"/>
              <w:bottom w:w="140" w:type="dxa"/>
              <w:right w:w="200" w:type="dxa"/>
            </w:tcMar>
          </w:tcPr>
          <w:p w14:paraId="05B624BF" w14:textId="77777777" w:rsidR="001658FA" w:rsidRDefault="00000000">
            <w:pPr>
              <w:pStyle w:val="ListParagraph"/>
              <w:numPr>
                <w:ilvl w:val="0"/>
                <w:numId w:val="2"/>
              </w:numPr>
              <w:spacing w:after="80"/>
            </w:pPr>
            <w:r>
              <w:rPr>
                <w:sz w:val="20"/>
                <w:szCs w:val="20"/>
              </w:rPr>
              <w:t>Dark ink background (#080F14) for professional, high-contrast appearance</w:t>
            </w:r>
          </w:p>
          <w:p w14:paraId="37AC5B19" w14:textId="77777777" w:rsidR="001658FA" w:rsidRDefault="00000000">
            <w:pPr>
              <w:pStyle w:val="ListParagraph"/>
              <w:numPr>
                <w:ilvl w:val="0"/>
                <w:numId w:val="2"/>
              </w:numPr>
              <w:spacing w:after="80"/>
            </w:pPr>
            <w:r>
              <w:rPr>
                <w:sz w:val="20"/>
                <w:szCs w:val="20"/>
              </w:rPr>
              <w:t>Teal (#13B5A7) as primary colour — calm, financial, trustworthy tone</w:t>
            </w:r>
          </w:p>
          <w:p w14:paraId="6A2FB242" w14:textId="77777777" w:rsidR="001658FA" w:rsidRDefault="00000000">
            <w:pPr>
              <w:pStyle w:val="ListParagraph"/>
              <w:numPr>
                <w:ilvl w:val="0"/>
                <w:numId w:val="2"/>
              </w:numPr>
              <w:spacing w:after="80"/>
            </w:pPr>
            <w:r>
              <w:rPr>
                <w:sz w:val="20"/>
                <w:szCs w:val="20"/>
              </w:rPr>
              <w:t>Red (#D64045) for high-risk signals — immediate visual alert for flagged items</w:t>
            </w:r>
          </w:p>
          <w:p w14:paraId="42D6888F" w14:textId="77777777" w:rsidR="001658FA" w:rsidRDefault="00000000">
            <w:pPr>
              <w:pStyle w:val="ListParagraph"/>
              <w:numPr>
                <w:ilvl w:val="0"/>
                <w:numId w:val="2"/>
              </w:numPr>
              <w:spacing w:after="80"/>
            </w:pPr>
            <w:r>
              <w:rPr>
                <w:sz w:val="20"/>
                <w:szCs w:val="20"/>
              </w:rPr>
              <w:t>Amber (#E8892A) for medium-risk warnings — clear three-tier risk differentiation</w:t>
            </w:r>
          </w:p>
          <w:p w14:paraId="3B41B615" w14:textId="77777777" w:rsidR="001658FA" w:rsidRDefault="00000000">
            <w:pPr>
              <w:pStyle w:val="ListParagraph"/>
              <w:numPr>
                <w:ilvl w:val="0"/>
                <w:numId w:val="2"/>
              </w:numPr>
              <w:spacing w:after="80"/>
            </w:pPr>
            <w:r>
              <w:rPr>
                <w:sz w:val="20"/>
                <w:szCs w:val="20"/>
              </w:rPr>
              <w:t>Rounded card borders and consistent padding across all visuals for a polished look</w:t>
            </w:r>
          </w:p>
          <w:p w14:paraId="62F31F31" w14:textId="77777777" w:rsidR="001658FA" w:rsidRDefault="00000000">
            <w:pPr>
              <w:pStyle w:val="ListParagraph"/>
              <w:numPr>
                <w:ilvl w:val="0"/>
                <w:numId w:val="2"/>
              </w:numPr>
              <w:spacing w:after="80"/>
            </w:pPr>
            <w:r>
              <w:rPr>
                <w:sz w:val="20"/>
                <w:szCs w:val="20"/>
              </w:rPr>
              <w:t>Consistent title formatting — white bold text on dark teal backgrounds throughout</w:t>
            </w:r>
          </w:p>
        </w:tc>
      </w:tr>
    </w:tbl>
    <w:p w14:paraId="4053CB94" w14:textId="77777777" w:rsidR="001658FA" w:rsidRDefault="001658FA">
      <w:pPr>
        <w:spacing w:after="16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0"/>
      </w:tblGrid>
      <w:tr w:rsidR="001658FA" w14:paraId="7D1DFF26" w14:textId="77777777">
        <w:tc>
          <w:tcPr>
            <w:tcW w:w="0" w:type="auto"/>
            <w:tcBorders>
              <w:top w:val="none" w:sz="0" w:space="0" w:color="FFFFFF"/>
              <w:left w:val="none" w:sz="0" w:space="0" w:color="FFFFFF"/>
              <w:bottom w:val="none" w:sz="0" w:space="0" w:color="FFFFFF"/>
              <w:right w:val="none" w:sz="0" w:space="0" w:color="FFFFFF"/>
            </w:tcBorders>
            <w:shd w:val="clear" w:color="auto" w:fill="10847A"/>
            <w:tcMar>
              <w:top w:w="80" w:type="dxa"/>
              <w:left w:w="200" w:type="dxa"/>
              <w:bottom w:w="80" w:type="dxa"/>
              <w:right w:w="200" w:type="dxa"/>
            </w:tcMar>
          </w:tcPr>
          <w:p w14:paraId="69B5C39B" w14:textId="77777777" w:rsidR="001658FA" w:rsidRDefault="00000000">
            <w:r>
              <w:rPr>
                <w:b/>
                <w:bCs/>
                <w:color w:val="FFFFFF"/>
                <w:sz w:val="20"/>
                <w:szCs w:val="20"/>
              </w:rPr>
              <w:t>⚙️  Technical Approach</w:t>
            </w:r>
          </w:p>
        </w:tc>
      </w:tr>
      <w:tr w:rsidR="001658FA" w14:paraId="0838FD27" w14:textId="77777777">
        <w:tc>
          <w:tcPr>
            <w:tcW w:w="0" w:type="auto"/>
            <w:tcBorders>
              <w:top w:val="none" w:sz="0" w:space="0" w:color="FFFFFF"/>
              <w:left w:val="single" w:sz="4" w:space="0" w:color="10847A"/>
              <w:bottom w:val="single" w:sz="4" w:space="0" w:color="10847A"/>
              <w:right w:val="single" w:sz="4" w:space="0" w:color="10847A"/>
            </w:tcBorders>
            <w:shd w:val="clear" w:color="auto" w:fill="EDF3F2"/>
            <w:tcMar>
              <w:top w:w="140" w:type="dxa"/>
              <w:left w:w="200" w:type="dxa"/>
              <w:bottom w:w="140" w:type="dxa"/>
              <w:right w:w="200" w:type="dxa"/>
            </w:tcMar>
          </w:tcPr>
          <w:p w14:paraId="02D25FF3" w14:textId="77777777" w:rsidR="001658FA" w:rsidRDefault="00000000">
            <w:pPr>
              <w:pStyle w:val="ListParagraph"/>
              <w:numPr>
                <w:ilvl w:val="0"/>
                <w:numId w:val="2"/>
              </w:numPr>
              <w:spacing w:after="80"/>
            </w:pPr>
            <w:r>
              <w:rPr>
                <w:sz w:val="20"/>
                <w:szCs w:val="20"/>
              </w:rPr>
              <w:t>MySQL Connector/NET installed for direct Power BI to MySQL database connection</w:t>
            </w:r>
          </w:p>
          <w:p w14:paraId="5BB7AC97" w14:textId="77777777" w:rsidR="001658FA" w:rsidRDefault="00000000">
            <w:pPr>
              <w:pStyle w:val="ListParagraph"/>
              <w:numPr>
                <w:ilvl w:val="0"/>
                <w:numId w:val="2"/>
              </w:numPr>
              <w:spacing w:after="80"/>
            </w:pPr>
            <w:r>
              <w:rPr>
                <w:sz w:val="20"/>
                <w:szCs w:val="20"/>
              </w:rPr>
              <w:t>Import mode selected for reliable offline portfolio demonstration and fast rendering</w:t>
            </w:r>
          </w:p>
          <w:p w14:paraId="3065095B" w14:textId="77777777" w:rsidR="001658FA" w:rsidRDefault="00000000">
            <w:pPr>
              <w:pStyle w:val="ListParagraph"/>
              <w:numPr>
                <w:ilvl w:val="0"/>
                <w:numId w:val="2"/>
              </w:numPr>
              <w:spacing w:after="80"/>
            </w:pPr>
            <w:r>
              <w:rPr>
                <w:sz w:val="20"/>
                <w:szCs w:val="20"/>
              </w:rPr>
              <w:t>SQL Views used as clean, pre-aggregated data sources — no transformation needed in Power BI</w:t>
            </w:r>
          </w:p>
          <w:p w14:paraId="2F24B323" w14:textId="77777777" w:rsidR="001658FA" w:rsidRDefault="00000000">
            <w:pPr>
              <w:pStyle w:val="ListParagraph"/>
              <w:numPr>
                <w:ilvl w:val="0"/>
                <w:numId w:val="2"/>
              </w:numPr>
              <w:spacing w:after="80"/>
            </w:pPr>
            <w:r>
              <w:rPr>
                <w:sz w:val="20"/>
                <w:szCs w:val="20"/>
              </w:rPr>
              <w:t>DAX measures created for all dynamic KPI calculations across the dashboard</w:t>
            </w:r>
          </w:p>
          <w:p w14:paraId="2DF91FB5" w14:textId="77777777" w:rsidR="001658FA" w:rsidRDefault="00000000">
            <w:pPr>
              <w:pStyle w:val="ListParagraph"/>
              <w:numPr>
                <w:ilvl w:val="0"/>
                <w:numId w:val="2"/>
              </w:numPr>
              <w:spacing w:after="80"/>
            </w:pPr>
            <w:r>
              <w:rPr>
                <w:sz w:val="20"/>
                <w:szCs w:val="20"/>
              </w:rPr>
              <w:t>Conditional formatting rules applied to automatically flag risk levels with colour coding</w:t>
            </w:r>
          </w:p>
          <w:p w14:paraId="49421C00" w14:textId="77777777" w:rsidR="001658FA" w:rsidRDefault="00000000">
            <w:pPr>
              <w:pStyle w:val="ListParagraph"/>
              <w:numPr>
                <w:ilvl w:val="0"/>
                <w:numId w:val="2"/>
              </w:numPr>
              <w:spacing w:after="80"/>
            </w:pPr>
            <w:r>
              <w:rPr>
                <w:sz w:val="20"/>
                <w:szCs w:val="20"/>
              </w:rPr>
              <w:t>Format Painter used to copy consistent visual styling across all cards and charts</w:t>
            </w:r>
          </w:p>
        </w:tc>
      </w:tr>
    </w:tbl>
    <w:p w14:paraId="0D5469C8" w14:textId="77777777" w:rsidR="001658FA" w:rsidRDefault="001658FA">
      <w:pPr>
        <w:spacing w:after="220"/>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
        <w:gridCol w:w="9834"/>
      </w:tblGrid>
      <w:tr w:rsidR="001658FA" w14:paraId="1B3BEFFA" w14:textId="77777777">
        <w:tc>
          <w:tcPr>
            <w:tcW w:w="0" w:type="auto"/>
            <w:tcBorders>
              <w:top w:val="none" w:sz="0" w:space="0" w:color="FFFFFF"/>
              <w:left w:val="none" w:sz="0" w:space="0" w:color="FFFFFF"/>
              <w:bottom w:val="none" w:sz="0" w:space="0" w:color="FFFFFF"/>
              <w:right w:val="none" w:sz="0" w:space="0" w:color="FFFFFF"/>
            </w:tcBorders>
            <w:shd w:val="clear" w:color="auto" w:fill="13B5A7"/>
            <w:tcMar>
              <w:top w:w="0" w:type="dxa"/>
              <w:left w:w="0" w:type="dxa"/>
              <w:bottom w:w="0" w:type="dxa"/>
              <w:right w:w="0" w:type="dxa"/>
            </w:tcMar>
          </w:tcPr>
          <w:p w14:paraId="7A6AE25D" w14:textId="77777777" w:rsidR="001658FA" w:rsidRDefault="001658FA"/>
        </w:tc>
        <w:tc>
          <w:tcPr>
            <w:tcW w:w="0" w:type="auto"/>
            <w:tcBorders>
              <w:top w:val="none" w:sz="0" w:space="0" w:color="FFFFFF"/>
              <w:left w:val="none" w:sz="0" w:space="0" w:color="FFFFFF"/>
              <w:bottom w:val="none" w:sz="0" w:space="0" w:color="FFFFFF"/>
              <w:right w:val="none" w:sz="0" w:space="0" w:color="FFFFFF"/>
            </w:tcBorders>
            <w:shd w:val="clear" w:color="auto" w:fill="0A3D3A"/>
            <w:tcMar>
              <w:top w:w="220" w:type="dxa"/>
              <w:left w:w="280" w:type="dxa"/>
              <w:bottom w:w="220" w:type="dxa"/>
              <w:right w:w="260" w:type="dxa"/>
            </w:tcMar>
          </w:tcPr>
          <w:p w14:paraId="717AF947" w14:textId="77777777" w:rsidR="001658FA" w:rsidRDefault="00000000">
            <w:pPr>
              <w:spacing w:after="100"/>
            </w:pPr>
            <w:r>
              <w:rPr>
                <w:b/>
                <w:bCs/>
                <w:color w:val="13B5A7"/>
                <w:sz w:val="26"/>
                <w:szCs w:val="26"/>
              </w:rPr>
              <w:t>Conclusion</w:t>
            </w:r>
          </w:p>
          <w:p w14:paraId="15B9FD6D" w14:textId="08E482B3" w:rsidR="001658FA" w:rsidRDefault="00000000">
            <w:r>
              <w:rPr>
                <w:color w:val="C8D8D6"/>
                <w:sz w:val="20"/>
                <w:szCs w:val="20"/>
              </w:rPr>
              <w:t xml:space="preserve">This Power BI dashboard demonstrates how business intelligence tools can be connected directly to relational databases to deliver real-time fraud monitoring capabilities. By combining MySQL views, DAX measures, and interactive </w:t>
            </w:r>
            <w:r w:rsidR="00A65BF3">
              <w:rPr>
                <w:color w:val="C8D8D6"/>
                <w:sz w:val="20"/>
                <w:szCs w:val="20"/>
              </w:rPr>
              <w:t>visualizations</w:t>
            </w:r>
            <w:r>
              <w:rPr>
                <w:color w:val="C8D8D6"/>
                <w:sz w:val="20"/>
                <w:szCs w:val="20"/>
              </w:rPr>
              <w:t xml:space="preserve">, the three-page dashboard provides a complete fraud detection and risk monitoring solution from portfolio-level KPIs through to individual customer risk profiles. The </w:t>
            </w:r>
            <w:r>
              <w:rPr>
                <w:color w:val="C8D8D6"/>
                <w:sz w:val="20"/>
                <w:szCs w:val="20"/>
              </w:rPr>
              <w:lastRenderedPageBreak/>
              <w:t>project illustrates the practical application of Power BI in financial services data analytics and risk management.</w:t>
            </w:r>
          </w:p>
        </w:tc>
      </w:tr>
    </w:tbl>
    <w:p w14:paraId="65721831" w14:textId="77777777" w:rsidR="001658FA" w:rsidRDefault="001658FA">
      <w:pPr>
        <w:spacing w:after="80"/>
      </w:pPr>
    </w:p>
    <w:sectPr w:rsidR="001658FA">
      <w:headerReference w:type="default" r:id="rId7"/>
      <w:footerReference w:type="default" r:id="rId8"/>
      <w:pgSz w:w="12240" w:h="15840"/>
      <w:pgMar w:top="1100" w:right="1200" w:bottom="11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F4910" w14:textId="77777777" w:rsidR="00173493" w:rsidRDefault="00173493">
      <w:r>
        <w:separator/>
      </w:r>
    </w:p>
  </w:endnote>
  <w:endnote w:type="continuationSeparator" w:id="0">
    <w:p w14:paraId="3F027D65" w14:textId="77777777" w:rsidR="00173493" w:rsidRDefault="0017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B235" w14:textId="3317E6A7" w:rsidR="001658FA" w:rsidRDefault="00000000">
    <w:pPr>
      <w:pBdr>
        <w:top w:val="single" w:sz="4" w:space="6" w:color="0D5C55"/>
      </w:pBdr>
      <w:tabs>
        <w:tab w:val="right" w:pos="9026"/>
      </w:tabs>
      <w:spacing w:before="80"/>
    </w:pPr>
    <w:r>
      <w:rPr>
        <w:color w:val="627E7B"/>
        <w:sz w:val="16"/>
        <w:szCs w:val="16"/>
      </w:rPr>
      <w:t xml:space="preserve">Confidential — Internal Use </w:t>
    </w:r>
    <w:r w:rsidR="00A65BF3">
      <w:rPr>
        <w:color w:val="627E7B"/>
        <w:sz w:val="16"/>
        <w:szCs w:val="16"/>
      </w:rPr>
      <w:t xml:space="preserve">Only </w:t>
    </w:r>
    <w:r w:rsidR="00A65BF3">
      <w:rPr>
        <w:color w:val="627E7B"/>
        <w:sz w:val="16"/>
        <w:szCs w:val="16"/>
      </w:rPr>
      <w:t>| Tools</w:t>
    </w:r>
    <w:r>
      <w:rPr>
        <w:color w:val="627E7B"/>
        <w:sz w:val="16"/>
        <w:szCs w:val="16"/>
      </w:rPr>
      <w:t>: Power BI · MySQL</w:t>
    </w:r>
    <w:r>
      <w:rPr>
        <w:color w:val="627E7B"/>
        <w:sz w:val="16"/>
        <w:szCs w:val="16"/>
      </w:rPr>
      <w:tab/>
      <w:t>Data Analytics Portfolio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E5B4" w14:textId="77777777" w:rsidR="00173493" w:rsidRDefault="00173493">
      <w:r>
        <w:separator/>
      </w:r>
    </w:p>
  </w:footnote>
  <w:footnote w:type="continuationSeparator" w:id="0">
    <w:p w14:paraId="5D8F6FEE" w14:textId="77777777" w:rsidR="00173493" w:rsidRDefault="00173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
      <w:gridCol w:w="7066"/>
      <w:gridCol w:w="2767"/>
    </w:tblGrid>
    <w:tr w:rsidR="001658FA" w14:paraId="23EFE38F" w14:textId="77777777">
      <w:tc>
        <w:tcPr>
          <w:tcW w:w="0" w:type="auto"/>
          <w:tcBorders>
            <w:top w:val="none" w:sz="0" w:space="0" w:color="FFFFFF"/>
            <w:left w:val="none" w:sz="0" w:space="0" w:color="FFFFFF"/>
            <w:bottom w:val="none" w:sz="0" w:space="0" w:color="FFFFFF"/>
            <w:right w:val="none" w:sz="0" w:space="0" w:color="FFFFFF"/>
          </w:tcBorders>
          <w:shd w:val="clear" w:color="auto" w:fill="13B5A7"/>
          <w:tcMar>
            <w:top w:w="0" w:type="dxa"/>
            <w:left w:w="0" w:type="dxa"/>
            <w:bottom w:w="0" w:type="dxa"/>
            <w:right w:w="0" w:type="dxa"/>
          </w:tcMar>
        </w:tcPr>
        <w:p w14:paraId="4C3E6DF9" w14:textId="77777777" w:rsidR="001658FA" w:rsidRDefault="001658FA"/>
      </w:tc>
      <w:tc>
        <w:tcPr>
          <w:tcW w:w="0" w:type="auto"/>
          <w:tcBorders>
            <w:top w:val="none" w:sz="0" w:space="0" w:color="FFFFFF"/>
            <w:left w:val="none" w:sz="0" w:space="0" w:color="FFFFFF"/>
            <w:bottom w:val="none" w:sz="0" w:space="0" w:color="FFFFFF"/>
            <w:right w:val="none" w:sz="0" w:space="0" w:color="FFFFFF"/>
          </w:tcBorders>
          <w:shd w:val="clear" w:color="auto" w:fill="080F14"/>
          <w:tcMar>
            <w:top w:w="80" w:type="dxa"/>
            <w:left w:w="200" w:type="dxa"/>
            <w:bottom w:w="80" w:type="dxa"/>
            <w:right w:w="200" w:type="dxa"/>
          </w:tcMar>
        </w:tcPr>
        <w:p w14:paraId="120DD67B" w14:textId="77777777" w:rsidR="001658FA" w:rsidRDefault="00000000">
          <w:r>
            <w:rPr>
              <w:b/>
              <w:bCs/>
              <w:color w:val="C8D8D6"/>
              <w:sz w:val="18"/>
              <w:szCs w:val="18"/>
            </w:rPr>
            <w:t>Fraud Detection Monitoring Dashboard — Power BI Project Report</w:t>
          </w:r>
        </w:p>
      </w:tc>
      <w:tc>
        <w:tcPr>
          <w:tcW w:w="0" w:type="auto"/>
          <w:tcBorders>
            <w:top w:val="none" w:sz="0" w:space="0" w:color="FFFFFF"/>
            <w:left w:val="none" w:sz="0" w:space="0" w:color="FFFFFF"/>
            <w:bottom w:val="none" w:sz="0" w:space="0" w:color="FFFFFF"/>
            <w:right w:val="none" w:sz="0" w:space="0" w:color="FFFFFF"/>
          </w:tcBorders>
          <w:shd w:val="clear" w:color="auto" w:fill="0A3D3A"/>
          <w:tcMar>
            <w:top w:w="80" w:type="dxa"/>
            <w:left w:w="200" w:type="dxa"/>
            <w:bottom w:w="80" w:type="dxa"/>
            <w:right w:w="200" w:type="dxa"/>
          </w:tcMar>
          <w:vAlign w:val="center"/>
        </w:tcPr>
        <w:p w14:paraId="37E9EB2D" w14:textId="5B3CB3E1" w:rsidR="001658FA" w:rsidRDefault="00000000">
          <w:pPr>
            <w:jc w:val="right"/>
          </w:pPr>
          <w:r>
            <w:rPr>
              <w:color w:val="13B5A7"/>
              <w:sz w:val="17"/>
              <w:szCs w:val="17"/>
            </w:rPr>
            <w:t xml:space="preserve">Power </w:t>
          </w:r>
          <w:r w:rsidR="00A65BF3">
            <w:rPr>
              <w:color w:val="13B5A7"/>
              <w:sz w:val="17"/>
              <w:szCs w:val="17"/>
            </w:rPr>
            <w:t>BI | Moreen</w:t>
          </w:r>
          <w:r>
            <w:rPr>
              <w:color w:val="13B5A7"/>
              <w:sz w:val="17"/>
              <w:szCs w:val="17"/>
            </w:rPr>
            <w:t xml:space="preserve"> Gatwiri</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34277"/>
    <w:multiLevelType w:val="hybridMultilevel"/>
    <w:tmpl w:val="3320A9D8"/>
    <w:lvl w:ilvl="0" w:tplc="49C6B8B0">
      <w:start w:val="1"/>
      <w:numFmt w:val="bullet"/>
      <w:lvlText w:val="→"/>
      <w:lvlJc w:val="left"/>
      <w:pPr>
        <w:ind w:left="720" w:hanging="360"/>
      </w:pPr>
      <w:rPr>
        <w:b/>
        <w:bCs/>
        <w:color w:val="13B5A7"/>
        <w:sz w:val="20"/>
        <w:szCs w:val="20"/>
      </w:rPr>
    </w:lvl>
    <w:lvl w:ilvl="1" w:tplc="C11E2986">
      <w:numFmt w:val="decimal"/>
      <w:lvlText w:val=""/>
      <w:lvlJc w:val="left"/>
    </w:lvl>
    <w:lvl w:ilvl="2" w:tplc="58CE3C12">
      <w:numFmt w:val="decimal"/>
      <w:lvlText w:val=""/>
      <w:lvlJc w:val="left"/>
    </w:lvl>
    <w:lvl w:ilvl="3" w:tplc="12B4E4FE">
      <w:numFmt w:val="decimal"/>
      <w:lvlText w:val=""/>
      <w:lvlJc w:val="left"/>
    </w:lvl>
    <w:lvl w:ilvl="4" w:tplc="7C3C7EC4">
      <w:numFmt w:val="decimal"/>
      <w:lvlText w:val=""/>
      <w:lvlJc w:val="left"/>
    </w:lvl>
    <w:lvl w:ilvl="5" w:tplc="9552D862">
      <w:numFmt w:val="decimal"/>
      <w:lvlText w:val=""/>
      <w:lvlJc w:val="left"/>
    </w:lvl>
    <w:lvl w:ilvl="6" w:tplc="BD76D7EA">
      <w:numFmt w:val="decimal"/>
      <w:lvlText w:val=""/>
      <w:lvlJc w:val="left"/>
    </w:lvl>
    <w:lvl w:ilvl="7" w:tplc="C5D27E9C">
      <w:numFmt w:val="decimal"/>
      <w:lvlText w:val=""/>
      <w:lvlJc w:val="left"/>
    </w:lvl>
    <w:lvl w:ilvl="8" w:tplc="A4BC2F2A">
      <w:numFmt w:val="decimal"/>
      <w:lvlText w:val=""/>
      <w:lvlJc w:val="left"/>
    </w:lvl>
  </w:abstractNum>
  <w:abstractNum w:abstractNumId="1" w15:restartNumberingAfterBreak="0">
    <w:nsid w:val="79796DAD"/>
    <w:multiLevelType w:val="hybridMultilevel"/>
    <w:tmpl w:val="AB186402"/>
    <w:lvl w:ilvl="0" w:tplc="22BE332A">
      <w:start w:val="1"/>
      <w:numFmt w:val="bullet"/>
      <w:lvlText w:val="●"/>
      <w:lvlJc w:val="left"/>
      <w:pPr>
        <w:ind w:left="720" w:hanging="360"/>
      </w:pPr>
    </w:lvl>
    <w:lvl w:ilvl="1" w:tplc="1F0A33F2">
      <w:start w:val="1"/>
      <w:numFmt w:val="bullet"/>
      <w:lvlText w:val="○"/>
      <w:lvlJc w:val="left"/>
      <w:pPr>
        <w:ind w:left="1440" w:hanging="360"/>
      </w:pPr>
    </w:lvl>
    <w:lvl w:ilvl="2" w:tplc="2E64FD6A">
      <w:start w:val="1"/>
      <w:numFmt w:val="bullet"/>
      <w:lvlText w:val="■"/>
      <w:lvlJc w:val="left"/>
      <w:pPr>
        <w:ind w:left="2160" w:hanging="360"/>
      </w:pPr>
    </w:lvl>
    <w:lvl w:ilvl="3" w:tplc="5C8280A4">
      <w:start w:val="1"/>
      <w:numFmt w:val="bullet"/>
      <w:lvlText w:val="●"/>
      <w:lvlJc w:val="left"/>
      <w:pPr>
        <w:ind w:left="2880" w:hanging="360"/>
      </w:pPr>
    </w:lvl>
    <w:lvl w:ilvl="4" w:tplc="86EA38D6">
      <w:start w:val="1"/>
      <w:numFmt w:val="bullet"/>
      <w:lvlText w:val="○"/>
      <w:lvlJc w:val="left"/>
      <w:pPr>
        <w:ind w:left="3600" w:hanging="360"/>
      </w:pPr>
    </w:lvl>
    <w:lvl w:ilvl="5" w:tplc="E20A53B4">
      <w:start w:val="1"/>
      <w:numFmt w:val="bullet"/>
      <w:lvlText w:val="■"/>
      <w:lvlJc w:val="left"/>
      <w:pPr>
        <w:ind w:left="4320" w:hanging="360"/>
      </w:pPr>
    </w:lvl>
    <w:lvl w:ilvl="6" w:tplc="AF8ACB64">
      <w:start w:val="1"/>
      <w:numFmt w:val="bullet"/>
      <w:lvlText w:val="●"/>
      <w:lvlJc w:val="left"/>
      <w:pPr>
        <w:ind w:left="5040" w:hanging="360"/>
      </w:pPr>
    </w:lvl>
    <w:lvl w:ilvl="7" w:tplc="57141F5C">
      <w:start w:val="1"/>
      <w:numFmt w:val="bullet"/>
      <w:lvlText w:val="●"/>
      <w:lvlJc w:val="left"/>
      <w:pPr>
        <w:ind w:left="5760" w:hanging="360"/>
      </w:pPr>
    </w:lvl>
    <w:lvl w:ilvl="8" w:tplc="4EDCB78C">
      <w:start w:val="1"/>
      <w:numFmt w:val="bullet"/>
      <w:lvlText w:val="●"/>
      <w:lvlJc w:val="left"/>
      <w:pPr>
        <w:ind w:left="6480" w:hanging="360"/>
      </w:pPr>
    </w:lvl>
  </w:abstractNum>
  <w:num w:numId="1" w16cid:durableId="1247037842">
    <w:abstractNumId w:val="1"/>
    <w:lvlOverride w:ilvl="0">
      <w:startOverride w:val="1"/>
    </w:lvlOverride>
  </w:num>
  <w:num w:numId="2" w16cid:durableId="14977638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FA"/>
    <w:rsid w:val="001658FA"/>
    <w:rsid w:val="00173493"/>
    <w:rsid w:val="002E4566"/>
    <w:rsid w:val="004B24BE"/>
    <w:rsid w:val="00A65BF3"/>
    <w:rsid w:val="00EE345C"/>
    <w:rsid w:val="00EF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8377"/>
  <w15:docId w15:val="{42C3E3B7-315B-422E-847E-633BC991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80F14"/>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40"/>
      <w:outlineLvl w:val="0"/>
    </w:pPr>
    <w:rPr>
      <w:b/>
      <w:bCs/>
      <w:color w:val="0A3D3A"/>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Moreen Gatwiri</cp:lastModifiedBy>
  <cp:revision>3</cp:revision>
  <dcterms:created xsi:type="dcterms:W3CDTF">2026-03-20T11:22:00Z</dcterms:created>
  <dcterms:modified xsi:type="dcterms:W3CDTF">2026-03-21T05:42:00Z</dcterms:modified>
</cp:coreProperties>
</file>