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
        <w:gridCol w:w="6786"/>
        <w:gridCol w:w="3047"/>
      </w:tblGrid>
      <w:tr w:rsidR="00D67C92" w14:paraId="09720A2E"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0" w:type="dxa"/>
              <w:left w:w="0" w:type="dxa"/>
              <w:bottom w:w="0" w:type="dxa"/>
              <w:right w:w="0" w:type="dxa"/>
            </w:tcMar>
          </w:tcPr>
          <w:p w14:paraId="11E2BB08" w14:textId="77777777" w:rsidR="00D67C92" w:rsidRDefault="00D67C92"/>
        </w:tc>
        <w:tc>
          <w:tcPr>
            <w:tcW w:w="0" w:type="auto"/>
            <w:tcBorders>
              <w:top w:val="none" w:sz="0" w:space="0" w:color="FFFFFF"/>
              <w:left w:val="none" w:sz="0" w:space="0" w:color="FFFFFF"/>
              <w:bottom w:val="none" w:sz="0" w:space="0" w:color="FFFFFF"/>
              <w:right w:val="none" w:sz="0" w:space="0" w:color="FFFFFF"/>
            </w:tcBorders>
            <w:shd w:val="clear" w:color="auto" w:fill="2D1B0E"/>
            <w:tcMar>
              <w:top w:w="500" w:type="dxa"/>
              <w:left w:w="460" w:type="dxa"/>
              <w:bottom w:w="500" w:type="dxa"/>
              <w:right w:w="260" w:type="dxa"/>
            </w:tcMar>
          </w:tcPr>
          <w:p w14:paraId="422DD30F" w14:textId="77777777" w:rsidR="00D67C92" w:rsidRDefault="00000000">
            <w:pPr>
              <w:spacing w:after="60"/>
            </w:pPr>
            <w:r>
              <w:rPr>
                <w:b/>
                <w:bCs/>
                <w:color w:val="D4A017"/>
                <w:sz w:val="54"/>
                <w:szCs w:val="54"/>
              </w:rPr>
              <w:t>RETAIL BANKING</w:t>
            </w:r>
          </w:p>
          <w:p w14:paraId="7306C648" w14:textId="77777777" w:rsidR="00D67C92" w:rsidRDefault="00000000">
            <w:pPr>
              <w:spacing w:after="60"/>
            </w:pPr>
            <w:r>
              <w:rPr>
                <w:b/>
                <w:bCs/>
                <w:color w:val="FFFFFF"/>
                <w:sz w:val="54"/>
                <w:szCs w:val="54"/>
              </w:rPr>
              <w:t>LOAN PORTFOLIO</w:t>
            </w:r>
          </w:p>
          <w:p w14:paraId="65F19E35" w14:textId="77777777" w:rsidR="00D67C92" w:rsidRDefault="00000000">
            <w:pPr>
              <w:spacing w:after="260"/>
            </w:pPr>
            <w:r>
              <w:rPr>
                <w:b/>
                <w:bCs/>
                <w:color w:val="EDE0C4"/>
                <w:sz w:val="40"/>
                <w:szCs w:val="40"/>
              </w:rPr>
              <w:t>RISK &amp; PERFORMANCE</w:t>
            </w:r>
          </w:p>
          <w:p w14:paraId="014F4062" w14:textId="77777777" w:rsidR="00D67C92" w:rsidRDefault="00D67C92">
            <w:pPr>
              <w:pBdr>
                <w:bottom w:val="single" w:sz="6" w:space="1" w:color="C17A2F"/>
              </w:pBdr>
            </w:pPr>
          </w:p>
          <w:p w14:paraId="58659D02" w14:textId="77777777" w:rsidR="00D67C92" w:rsidRDefault="00D67C92">
            <w:pPr>
              <w:spacing w:after="120"/>
            </w:pPr>
          </w:p>
          <w:p w14:paraId="4D45326A" w14:textId="77777777" w:rsidR="00D67C92" w:rsidRDefault="00000000">
            <w:pPr>
              <w:spacing w:after="70"/>
            </w:pPr>
            <w:r>
              <w:rPr>
                <w:b/>
                <w:bCs/>
                <w:color w:val="D4A017"/>
                <w:sz w:val="21"/>
                <w:szCs w:val="21"/>
              </w:rPr>
              <w:t xml:space="preserve">Author:        </w:t>
            </w:r>
            <w:r>
              <w:rPr>
                <w:color w:val="FFFFFF"/>
                <w:sz w:val="21"/>
                <w:szCs w:val="21"/>
              </w:rPr>
              <w:t>Moreen Gatwiri</w:t>
            </w:r>
          </w:p>
          <w:p w14:paraId="72ABE5E5" w14:textId="77777777" w:rsidR="00D67C92" w:rsidRDefault="00000000">
            <w:pPr>
              <w:spacing w:after="70"/>
            </w:pPr>
            <w:r>
              <w:rPr>
                <w:b/>
                <w:bCs/>
                <w:color w:val="D4A017"/>
                <w:sz w:val="21"/>
                <w:szCs w:val="21"/>
              </w:rPr>
              <w:t xml:space="preserve">Tool:            </w:t>
            </w:r>
            <w:r>
              <w:rPr>
                <w:color w:val="FFFFFF"/>
                <w:sz w:val="21"/>
                <w:szCs w:val="21"/>
              </w:rPr>
              <w:t>Microsoft Excel</w:t>
            </w:r>
          </w:p>
          <w:p w14:paraId="479F76C8" w14:textId="77777777" w:rsidR="00D67C92" w:rsidRDefault="00000000">
            <w:pPr>
              <w:spacing w:after="70"/>
            </w:pPr>
            <w:r>
              <w:rPr>
                <w:b/>
                <w:bCs/>
                <w:color w:val="D4A017"/>
                <w:sz w:val="21"/>
                <w:szCs w:val="21"/>
              </w:rPr>
              <w:t xml:space="preserve">Project Type: </w:t>
            </w:r>
            <w:r>
              <w:rPr>
                <w:color w:val="FFFFFF"/>
                <w:sz w:val="21"/>
                <w:szCs w:val="21"/>
              </w:rPr>
              <w:t>Advanced Excel Model</w:t>
            </w:r>
          </w:p>
          <w:p w14:paraId="4B9CA269" w14:textId="77777777" w:rsidR="00D67C92" w:rsidRDefault="00000000">
            <w:r>
              <w:rPr>
                <w:b/>
                <w:bCs/>
                <w:color w:val="D4A017"/>
                <w:sz w:val="21"/>
                <w:szCs w:val="21"/>
              </w:rPr>
              <w:t xml:space="preserve">Domain:       </w:t>
            </w:r>
            <w:r>
              <w:rPr>
                <w:color w:val="FFFFFF"/>
                <w:sz w:val="21"/>
                <w:szCs w:val="21"/>
              </w:rPr>
              <w:t>Credit Risk &amp; Portfolio Analytics</w:t>
            </w:r>
          </w:p>
        </w:tc>
        <w:tc>
          <w:tcPr>
            <w:tcW w:w="0" w:type="auto"/>
            <w:tcBorders>
              <w:top w:val="none" w:sz="0" w:space="0" w:color="FFFFFF"/>
              <w:left w:val="none" w:sz="0" w:space="0" w:color="FFFFFF"/>
              <w:bottom w:val="none" w:sz="0" w:space="0" w:color="FFFFFF"/>
              <w:right w:val="none" w:sz="0" w:space="0" w:color="FFFFFF"/>
            </w:tcBorders>
            <w:shd w:val="clear" w:color="auto" w:fill="8B4513"/>
            <w:tcMar>
              <w:top w:w="360" w:type="dxa"/>
              <w:left w:w="200" w:type="dxa"/>
              <w:bottom w:w="360" w:type="dxa"/>
              <w:right w:w="260" w:type="dxa"/>
            </w:tcMar>
            <w:vAlign w:val="center"/>
          </w:tcPr>
          <w:p w14:paraId="530F621F" w14:textId="77777777" w:rsidR="00D67C92" w:rsidRDefault="00000000">
            <w:pPr>
              <w:spacing w:after="80"/>
              <w:jc w:val="center"/>
            </w:pPr>
            <w:r>
              <w:rPr>
                <w:rFonts w:ascii="Segoe UI Emoji" w:eastAsia="Segoe UI Emoji" w:hAnsi="Segoe UI Emoji" w:cs="Segoe UI Emoji"/>
                <w:sz w:val="80"/>
                <w:szCs w:val="80"/>
              </w:rPr>
              <w:t>📊</w:t>
            </w:r>
          </w:p>
          <w:p w14:paraId="10342026" w14:textId="77777777" w:rsidR="00D67C92" w:rsidRDefault="00000000">
            <w:pPr>
              <w:spacing w:after="20"/>
              <w:jc w:val="center"/>
            </w:pPr>
            <w:r>
              <w:rPr>
                <w:b/>
                <w:bCs/>
                <w:color w:val="FFFFFF"/>
                <w:sz w:val="80"/>
                <w:szCs w:val="80"/>
              </w:rPr>
              <w:t>2,000</w:t>
            </w:r>
          </w:p>
          <w:p w14:paraId="3AC1FFF6" w14:textId="77777777" w:rsidR="00D67C92" w:rsidRDefault="00000000">
            <w:pPr>
              <w:spacing w:after="180"/>
              <w:jc w:val="center"/>
            </w:pPr>
            <w:r>
              <w:rPr>
                <w:color w:val="FDF3DC"/>
                <w:sz w:val="21"/>
                <w:szCs w:val="21"/>
              </w:rPr>
              <w:t>Loan Records</w:t>
            </w:r>
          </w:p>
          <w:p w14:paraId="3F855603" w14:textId="77777777" w:rsidR="00D67C92" w:rsidRDefault="00000000">
            <w:pPr>
              <w:spacing w:after="20"/>
              <w:jc w:val="center"/>
            </w:pPr>
            <w:r>
              <w:rPr>
                <w:b/>
                <w:bCs/>
                <w:color w:val="FFFFFF"/>
                <w:sz w:val="64"/>
                <w:szCs w:val="64"/>
              </w:rPr>
              <w:t>73%</w:t>
            </w:r>
          </w:p>
          <w:p w14:paraId="79417C2A" w14:textId="77777777" w:rsidR="00D67C92" w:rsidRDefault="00000000">
            <w:pPr>
              <w:spacing w:after="180"/>
              <w:jc w:val="center"/>
            </w:pPr>
            <w:r>
              <w:rPr>
                <w:color w:val="FDF3DC"/>
                <w:sz w:val="21"/>
                <w:szCs w:val="21"/>
              </w:rPr>
              <w:t>Mortgage Share</w:t>
            </w:r>
          </w:p>
          <w:p w14:paraId="6045579C" w14:textId="77777777" w:rsidR="00D67C92" w:rsidRDefault="00000000">
            <w:pPr>
              <w:spacing w:after="20"/>
              <w:jc w:val="center"/>
            </w:pPr>
            <w:r>
              <w:rPr>
                <w:b/>
                <w:bCs/>
                <w:color w:val="FFFFFF"/>
                <w:sz w:val="44"/>
                <w:szCs w:val="44"/>
              </w:rPr>
              <w:t>KES 1.9B</w:t>
            </w:r>
          </w:p>
          <w:p w14:paraId="5F3EDB5B" w14:textId="77777777" w:rsidR="00D67C92" w:rsidRDefault="00000000">
            <w:pPr>
              <w:jc w:val="center"/>
            </w:pPr>
            <w:r>
              <w:rPr>
                <w:color w:val="FDF3DC"/>
                <w:sz w:val="21"/>
                <w:szCs w:val="21"/>
              </w:rPr>
              <w:t>Top Branch Exposure</w:t>
            </w:r>
          </w:p>
        </w:tc>
      </w:tr>
    </w:tbl>
    <w:p w14:paraId="76FD2B33" w14:textId="77777777" w:rsidR="00D67C92" w:rsidRDefault="00D67C92">
      <w:pPr>
        <w:spacing w:after="2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D67C92" w14:paraId="208BF5BA" w14:textId="77777777">
        <w:tc>
          <w:tcPr>
            <w:tcW w:w="0" w:type="auto"/>
            <w:tcBorders>
              <w:top w:val="single" w:sz="4" w:space="0" w:color="2D1B0E"/>
              <w:left w:val="single" w:sz="28" w:space="0" w:color="2D1B0E"/>
              <w:bottom w:val="single" w:sz="4" w:space="0" w:color="2D1B0E"/>
              <w:right w:val="single" w:sz="4" w:space="0" w:color="2D1B0E"/>
            </w:tcBorders>
            <w:shd w:val="clear" w:color="auto" w:fill="F5EDD8"/>
            <w:tcMar>
              <w:top w:w="160" w:type="dxa"/>
              <w:left w:w="280" w:type="dxa"/>
              <w:bottom w:w="160" w:type="dxa"/>
              <w:right w:w="280" w:type="dxa"/>
            </w:tcMar>
          </w:tcPr>
          <w:p w14:paraId="696F2EF9" w14:textId="50E5F653" w:rsidR="00D67C92" w:rsidRDefault="005773DF">
            <w:pPr>
              <w:spacing w:after="80"/>
            </w:pPr>
            <w:r>
              <w:rPr>
                <w:rFonts w:ascii="Segoe UI Emoji" w:hAnsi="Segoe UI Emoji" w:cs="Segoe UI Emoji"/>
                <w:b/>
                <w:bCs/>
                <w:color w:val="2D1B0E"/>
              </w:rPr>
              <w:t>📋</w:t>
            </w:r>
            <w:r>
              <w:rPr>
                <w:b/>
                <w:bCs/>
                <w:color w:val="2D1B0E"/>
              </w:rPr>
              <w:t xml:space="preserve"> Executive</w:t>
            </w:r>
            <w:r w:rsidR="00000000">
              <w:rPr>
                <w:b/>
                <w:bCs/>
                <w:color w:val="2D1B0E"/>
              </w:rPr>
              <w:t xml:space="preserve"> Summary</w:t>
            </w:r>
          </w:p>
          <w:p w14:paraId="6969F294" w14:textId="77777777" w:rsidR="00D67C92" w:rsidRDefault="00000000">
            <w:r>
              <w:rPr>
                <w:sz w:val="20"/>
                <w:szCs w:val="20"/>
              </w:rPr>
              <w:t>This project analyses a simulated retail banking loan portfolio to evaluate credit risk exposure, lending concentration, and product composition across branches. Using advanced Excel modelling techniques on 2,000 loan records, the analysis identifies high-risk exposures, evaluates loan portfolio distribution, and supports portfolio-level decision-making through interactive dashboards and analytical metrics.</w:t>
            </w:r>
          </w:p>
        </w:tc>
      </w:tr>
    </w:tbl>
    <w:p w14:paraId="345EB1DE" w14:textId="77777777" w:rsidR="00D67C92" w:rsidRDefault="00000000">
      <w:r>
        <w:br w:type="page"/>
      </w:r>
    </w:p>
    <w:p w14:paraId="2FDA6E90" w14:textId="77777777" w:rsidR="00D67C92" w:rsidRDefault="00000000">
      <w:pPr>
        <w:pStyle w:val="Heading1"/>
      </w:pPr>
      <w:r>
        <w:lastRenderedPageBreak/>
        <w:t>BUSINESS CONTEXT &amp; PROBLEM</w:t>
      </w:r>
    </w:p>
    <w:p w14:paraId="69D046C7" w14:textId="77777777" w:rsidR="00D67C92" w:rsidRDefault="00D67C92">
      <w:pPr>
        <w:pBdr>
          <w:bottom w:val="single" w:sz="12" w:space="1" w:color="C17A2F"/>
        </w:pBdr>
        <w:spacing w:before="80"/>
      </w:pPr>
    </w:p>
    <w:p w14:paraId="76383088" w14:textId="77777777" w:rsidR="00D67C92" w:rsidRDefault="00D67C92">
      <w:pPr>
        <w:spacing w:after="1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20"/>
        <w:gridCol w:w="4920"/>
      </w:tblGrid>
      <w:tr w:rsidR="00D67C92" w14:paraId="26D97FF7" w14:textId="77777777" w:rsidTr="00350FF3">
        <w:trPr>
          <w:trHeight w:val="3730"/>
        </w:trPr>
        <w:tc>
          <w:tcPr>
            <w:tcW w:w="0" w:type="auto"/>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160" w:type="dxa"/>
            </w:tcMar>
          </w:tcPr>
          <w:tbl>
            <w:tblPr>
              <w:tblW w:w="103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40"/>
            </w:tblGrid>
            <w:tr w:rsidR="00D67C92" w14:paraId="08C7D8F5" w14:textId="77777777" w:rsidTr="00350FF3">
              <w:trPr>
                <w:trHeight w:val="283"/>
              </w:trPr>
              <w:tc>
                <w:tcPr>
                  <w:tcW w:w="0" w:type="auto"/>
                  <w:tcBorders>
                    <w:top w:val="none" w:sz="0" w:space="0" w:color="FFFFFF"/>
                    <w:left w:val="none" w:sz="0" w:space="0" w:color="FFFFFF"/>
                    <w:bottom w:val="none" w:sz="0" w:space="0" w:color="FFFFFF"/>
                    <w:right w:val="none" w:sz="0" w:space="0" w:color="FFFFFF"/>
                  </w:tcBorders>
                  <w:shd w:val="clear" w:color="auto" w:fill="4E2A04"/>
                  <w:tcMar>
                    <w:top w:w="80" w:type="dxa"/>
                    <w:left w:w="200" w:type="dxa"/>
                    <w:bottom w:w="80" w:type="dxa"/>
                    <w:right w:w="200" w:type="dxa"/>
                  </w:tcMar>
                </w:tcPr>
                <w:p w14:paraId="64AAD55A" w14:textId="306D6A2A" w:rsidR="00D67C92" w:rsidRDefault="005773DF">
                  <w:r>
                    <w:rPr>
                      <w:rFonts w:ascii="Segoe UI Emoji" w:hAnsi="Segoe UI Emoji" w:cs="Segoe UI Emoji"/>
                      <w:b/>
                      <w:bCs/>
                      <w:color w:val="FFFFFF"/>
                      <w:sz w:val="20"/>
                      <w:szCs w:val="20"/>
                    </w:rPr>
                    <w:t>📌</w:t>
                  </w:r>
                  <w:r>
                    <w:rPr>
                      <w:b/>
                      <w:bCs/>
                      <w:color w:val="FFFFFF"/>
                      <w:sz w:val="20"/>
                      <w:szCs w:val="20"/>
                    </w:rPr>
                    <w:t xml:space="preserve"> Business</w:t>
                  </w:r>
                  <w:r w:rsidR="00000000">
                    <w:rPr>
                      <w:b/>
                      <w:bCs/>
                      <w:color w:val="FFFFFF"/>
                      <w:sz w:val="20"/>
                      <w:szCs w:val="20"/>
                    </w:rPr>
                    <w:t xml:space="preserve"> Context</w:t>
                  </w:r>
                </w:p>
              </w:tc>
            </w:tr>
            <w:tr w:rsidR="00D67C92" w14:paraId="11F27180" w14:textId="77777777" w:rsidTr="00350FF3">
              <w:trPr>
                <w:trHeight w:val="3008"/>
              </w:trPr>
              <w:tc>
                <w:tcPr>
                  <w:tcW w:w="0" w:type="auto"/>
                  <w:tcBorders>
                    <w:top w:val="none" w:sz="0" w:space="0" w:color="FFFFFF"/>
                    <w:left w:val="single" w:sz="4" w:space="0" w:color="4E2A04"/>
                    <w:bottom w:val="single" w:sz="4" w:space="0" w:color="4E2A04"/>
                    <w:right w:val="single" w:sz="4" w:space="0" w:color="4E2A04"/>
                  </w:tcBorders>
                  <w:shd w:val="clear" w:color="auto" w:fill="F5EDD8"/>
                  <w:tcMar>
                    <w:top w:w="140" w:type="dxa"/>
                    <w:left w:w="200" w:type="dxa"/>
                    <w:bottom w:w="140" w:type="dxa"/>
                    <w:right w:w="200" w:type="dxa"/>
                  </w:tcMar>
                </w:tcPr>
                <w:p w14:paraId="7715A0BC" w14:textId="77777777" w:rsidR="00350FF3" w:rsidRDefault="00000000">
                  <w:pPr>
                    <w:spacing w:after="80"/>
                    <w:rPr>
                      <w:sz w:val="20"/>
                      <w:szCs w:val="20"/>
                    </w:rPr>
                  </w:pPr>
                  <w:r>
                    <w:rPr>
                      <w:sz w:val="20"/>
                      <w:szCs w:val="20"/>
                    </w:rPr>
                    <w:t>Retail and SME banks manage large loan portfolios</w:t>
                  </w:r>
                </w:p>
                <w:p w14:paraId="0921D8DA" w14:textId="77777777" w:rsidR="00350FF3" w:rsidRDefault="00000000">
                  <w:pPr>
                    <w:spacing w:after="80"/>
                    <w:rPr>
                      <w:sz w:val="20"/>
                      <w:szCs w:val="20"/>
                    </w:rPr>
                  </w:pPr>
                  <w:r>
                    <w:rPr>
                      <w:sz w:val="20"/>
                      <w:szCs w:val="20"/>
                    </w:rPr>
                    <w:t>distributed across multiple branches, customers,</w:t>
                  </w:r>
                </w:p>
                <w:p w14:paraId="3E5C7FE3" w14:textId="77777777" w:rsidR="00350FF3" w:rsidRDefault="00000000">
                  <w:pPr>
                    <w:spacing w:after="80"/>
                    <w:rPr>
                      <w:sz w:val="20"/>
                      <w:szCs w:val="20"/>
                    </w:rPr>
                  </w:pPr>
                  <w:r>
                    <w:rPr>
                      <w:sz w:val="20"/>
                      <w:szCs w:val="20"/>
                    </w:rPr>
                    <w:t>and lending products. Monitoring these portfolios is</w:t>
                  </w:r>
                </w:p>
                <w:p w14:paraId="75DADAC2" w14:textId="06A33608" w:rsidR="00D67C92" w:rsidRPr="00350FF3" w:rsidRDefault="00000000">
                  <w:pPr>
                    <w:spacing w:after="80"/>
                    <w:rPr>
                      <w:sz w:val="20"/>
                      <w:szCs w:val="20"/>
                    </w:rPr>
                  </w:pPr>
                  <w:r>
                    <w:rPr>
                      <w:sz w:val="20"/>
                      <w:szCs w:val="20"/>
                    </w:rPr>
                    <w:t>critical to:</w:t>
                  </w:r>
                </w:p>
                <w:p w14:paraId="680747AD" w14:textId="77777777" w:rsidR="00D67C92" w:rsidRDefault="00000000">
                  <w:pPr>
                    <w:pStyle w:val="ListParagraph"/>
                    <w:numPr>
                      <w:ilvl w:val="0"/>
                      <w:numId w:val="2"/>
                    </w:numPr>
                    <w:spacing w:after="80"/>
                  </w:pPr>
                  <w:r>
                    <w:rPr>
                      <w:sz w:val="20"/>
                      <w:szCs w:val="20"/>
                    </w:rPr>
                    <w:t>Ensure financial stability</w:t>
                  </w:r>
                </w:p>
                <w:p w14:paraId="7A5593C8" w14:textId="77777777" w:rsidR="00D67C92" w:rsidRDefault="00000000">
                  <w:pPr>
                    <w:pStyle w:val="ListParagraph"/>
                    <w:numPr>
                      <w:ilvl w:val="0"/>
                      <w:numId w:val="2"/>
                    </w:numPr>
                    <w:spacing w:after="80"/>
                  </w:pPr>
                  <w:r>
                    <w:rPr>
                      <w:sz w:val="20"/>
                      <w:szCs w:val="20"/>
                    </w:rPr>
                    <w:t>Maintain profitability</w:t>
                  </w:r>
                </w:p>
                <w:p w14:paraId="40135AFD" w14:textId="2C933169" w:rsidR="00D67C92" w:rsidRDefault="005773DF">
                  <w:pPr>
                    <w:pStyle w:val="ListParagraph"/>
                    <w:numPr>
                      <w:ilvl w:val="0"/>
                      <w:numId w:val="2"/>
                    </w:numPr>
                    <w:spacing w:after="80"/>
                  </w:pPr>
                  <w:r>
                    <w:rPr>
                      <w:sz w:val="20"/>
                      <w:szCs w:val="20"/>
                    </w:rPr>
                    <w:t>Minimize</w:t>
                  </w:r>
                  <w:r w:rsidR="00000000">
                    <w:rPr>
                      <w:sz w:val="20"/>
                      <w:szCs w:val="20"/>
                    </w:rPr>
                    <w:t xml:space="preserve"> credit risk exposure</w:t>
                  </w:r>
                </w:p>
                <w:p w14:paraId="41967526" w14:textId="77777777" w:rsidR="00D67C92" w:rsidRDefault="00000000">
                  <w:pPr>
                    <w:pStyle w:val="ListParagraph"/>
                    <w:numPr>
                      <w:ilvl w:val="0"/>
                      <w:numId w:val="2"/>
                    </w:numPr>
                    <w:spacing w:after="80"/>
                  </w:pPr>
                  <w:r>
                    <w:rPr>
                      <w:sz w:val="20"/>
                      <w:szCs w:val="20"/>
                    </w:rPr>
                    <w:t>Detect credit deterioration early</w:t>
                  </w:r>
                </w:p>
                <w:p w14:paraId="44191975" w14:textId="77777777" w:rsidR="00D67C92" w:rsidRDefault="00000000">
                  <w:pPr>
                    <w:pStyle w:val="ListParagraph"/>
                    <w:numPr>
                      <w:ilvl w:val="0"/>
                      <w:numId w:val="2"/>
                    </w:numPr>
                    <w:spacing w:after="80"/>
                  </w:pPr>
                  <w:r>
                    <w:rPr>
                      <w:sz w:val="20"/>
                      <w:szCs w:val="20"/>
                    </w:rPr>
                    <w:t>Ensure collateral adequacy</w:t>
                  </w:r>
                </w:p>
              </w:tc>
            </w:tr>
          </w:tbl>
          <w:p w14:paraId="1CF906BB" w14:textId="77777777" w:rsidR="00D67C92" w:rsidRDefault="00D67C92"/>
        </w:tc>
        <w:tc>
          <w:tcPr>
            <w:tcW w:w="0" w:type="auto"/>
            <w:tcBorders>
              <w:top w:val="none" w:sz="0" w:space="0" w:color="FFFFFF"/>
              <w:left w:val="none" w:sz="0" w:space="0" w:color="FFFFFF"/>
              <w:bottom w:val="none" w:sz="0" w:space="0" w:color="FFFFFF"/>
              <w:right w:val="none" w:sz="0" w:space="0" w:color="FFFFFF"/>
            </w:tcBorders>
            <w:shd w:val="clear" w:color="auto" w:fill="FFFFFF"/>
            <w:tcMar>
              <w:top w:w="0" w:type="dxa"/>
              <w:left w:w="160" w:type="dxa"/>
              <w:bottom w:w="0" w:type="dxa"/>
              <w:right w:w="0" w:type="dxa"/>
            </w:tcMar>
          </w:tcPr>
          <w:tbl>
            <w:tblPr>
              <w:tblW w:w="103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40"/>
            </w:tblGrid>
            <w:tr w:rsidR="00D67C92" w14:paraId="196DE081" w14:textId="77777777" w:rsidTr="00350FF3">
              <w:trPr>
                <w:trHeight w:val="283"/>
              </w:trPr>
              <w:tc>
                <w:tcPr>
                  <w:tcW w:w="0" w:type="auto"/>
                  <w:tcBorders>
                    <w:top w:val="none" w:sz="0" w:space="0" w:color="FFFFFF"/>
                    <w:left w:val="none" w:sz="0" w:space="0" w:color="FFFFFF"/>
                    <w:bottom w:val="none" w:sz="0" w:space="0" w:color="FFFFFF"/>
                    <w:right w:val="none" w:sz="0" w:space="0" w:color="FFFFFF"/>
                  </w:tcBorders>
                  <w:shd w:val="clear" w:color="auto" w:fill="8B2500"/>
                  <w:tcMar>
                    <w:top w:w="80" w:type="dxa"/>
                    <w:left w:w="200" w:type="dxa"/>
                    <w:bottom w:w="80" w:type="dxa"/>
                    <w:right w:w="200" w:type="dxa"/>
                  </w:tcMar>
                </w:tcPr>
                <w:p w14:paraId="1883F580" w14:textId="2075EA69" w:rsidR="00D67C92" w:rsidRDefault="00000000">
                  <w:r>
                    <w:rPr>
                      <w:b/>
                      <w:bCs/>
                      <w:color w:val="FFFFFF"/>
                      <w:sz w:val="20"/>
                      <w:szCs w:val="20"/>
                    </w:rPr>
                    <w:t>⚠</w:t>
                  </w:r>
                  <w:r w:rsidR="005773DF">
                    <w:rPr>
                      <w:b/>
                      <w:bCs/>
                      <w:color w:val="FFFFFF"/>
                      <w:sz w:val="20"/>
                      <w:szCs w:val="20"/>
                    </w:rPr>
                    <w:t>️ Business</w:t>
                  </w:r>
                  <w:r>
                    <w:rPr>
                      <w:b/>
                      <w:bCs/>
                      <w:color w:val="FFFFFF"/>
                      <w:sz w:val="20"/>
                      <w:szCs w:val="20"/>
                    </w:rPr>
                    <w:t xml:space="preserve"> Problem</w:t>
                  </w:r>
                </w:p>
              </w:tc>
            </w:tr>
            <w:tr w:rsidR="00D67C92" w14:paraId="3645F7A8" w14:textId="77777777" w:rsidTr="00350FF3">
              <w:trPr>
                <w:trHeight w:val="2981"/>
              </w:trPr>
              <w:tc>
                <w:tcPr>
                  <w:tcW w:w="0" w:type="auto"/>
                  <w:tcBorders>
                    <w:top w:val="none" w:sz="0" w:space="0" w:color="FFFFFF"/>
                    <w:left w:val="single" w:sz="4" w:space="0" w:color="8B2500"/>
                    <w:bottom w:val="single" w:sz="4" w:space="0" w:color="8B2500"/>
                    <w:right w:val="single" w:sz="4" w:space="0" w:color="8B2500"/>
                  </w:tcBorders>
                  <w:shd w:val="clear" w:color="auto" w:fill="FDECEA"/>
                  <w:tcMar>
                    <w:top w:w="140" w:type="dxa"/>
                    <w:left w:w="200" w:type="dxa"/>
                    <w:bottom w:w="140" w:type="dxa"/>
                    <w:right w:w="200" w:type="dxa"/>
                  </w:tcMar>
                </w:tcPr>
                <w:p w14:paraId="444B956C" w14:textId="77777777" w:rsidR="00350FF3" w:rsidRDefault="00000000">
                  <w:pPr>
                    <w:spacing w:after="80"/>
                    <w:rPr>
                      <w:sz w:val="20"/>
                      <w:szCs w:val="20"/>
                    </w:rPr>
                  </w:pPr>
                  <w:r>
                    <w:rPr>
                      <w:sz w:val="20"/>
                      <w:szCs w:val="20"/>
                    </w:rPr>
                    <w:t>Without structured analysis, banks risk missing</w:t>
                  </w:r>
                </w:p>
                <w:p w14:paraId="274A86C3" w14:textId="70D20660" w:rsidR="00D67C92" w:rsidRDefault="00000000">
                  <w:pPr>
                    <w:spacing w:after="80"/>
                  </w:pPr>
                  <w:r>
                    <w:rPr>
                      <w:sz w:val="20"/>
                      <w:szCs w:val="20"/>
                    </w:rPr>
                    <w:t>critical warning signs:</w:t>
                  </w:r>
                </w:p>
                <w:p w14:paraId="7120AEC5" w14:textId="77777777" w:rsidR="00D67C92" w:rsidRDefault="00000000">
                  <w:pPr>
                    <w:pStyle w:val="ListParagraph"/>
                    <w:numPr>
                      <w:ilvl w:val="0"/>
                      <w:numId w:val="2"/>
                    </w:numPr>
                    <w:spacing w:after="80"/>
                  </w:pPr>
                  <w:r>
                    <w:rPr>
                      <w:sz w:val="20"/>
                      <w:szCs w:val="20"/>
                    </w:rPr>
                    <w:t>Delinquent loans entering default</w:t>
                  </w:r>
                </w:p>
                <w:p w14:paraId="0DDDA3CC" w14:textId="77777777" w:rsidR="00D67C92" w:rsidRDefault="00000000">
                  <w:pPr>
                    <w:pStyle w:val="ListParagraph"/>
                    <w:numPr>
                      <w:ilvl w:val="0"/>
                      <w:numId w:val="2"/>
                    </w:numPr>
                    <w:spacing w:after="80"/>
                  </w:pPr>
                  <w:r>
                    <w:rPr>
                      <w:sz w:val="20"/>
                      <w:szCs w:val="20"/>
                    </w:rPr>
                    <w:t>Exposure to high-risk borrowers</w:t>
                  </w:r>
                </w:p>
                <w:p w14:paraId="0AE16FB3" w14:textId="77777777" w:rsidR="00D67C92" w:rsidRDefault="00000000">
                  <w:pPr>
                    <w:pStyle w:val="ListParagraph"/>
                    <w:numPr>
                      <w:ilvl w:val="0"/>
                      <w:numId w:val="2"/>
                    </w:numPr>
                    <w:spacing w:after="80"/>
                  </w:pPr>
                  <w:r>
                    <w:rPr>
                      <w:sz w:val="20"/>
                      <w:szCs w:val="20"/>
                    </w:rPr>
                    <w:t>Inadequate collateral backing</w:t>
                  </w:r>
                </w:p>
                <w:p w14:paraId="0586EE69" w14:textId="77777777" w:rsidR="00D67C92" w:rsidRDefault="00000000">
                  <w:pPr>
                    <w:pStyle w:val="ListParagraph"/>
                    <w:numPr>
                      <w:ilvl w:val="0"/>
                      <w:numId w:val="2"/>
                    </w:numPr>
                    <w:spacing w:after="80"/>
                  </w:pPr>
                  <w:r>
                    <w:rPr>
                      <w:sz w:val="20"/>
                      <w:szCs w:val="20"/>
                    </w:rPr>
                    <w:t>Branch &amp; regional concentration risk</w:t>
                  </w:r>
                </w:p>
                <w:p w14:paraId="2474F775" w14:textId="77777777" w:rsidR="00D67C92" w:rsidRDefault="00000000">
                  <w:pPr>
                    <w:pStyle w:val="ListParagraph"/>
                    <w:numPr>
                      <w:ilvl w:val="0"/>
                      <w:numId w:val="2"/>
                    </w:numPr>
                    <w:spacing w:after="80"/>
                  </w:pPr>
                  <w:r>
                    <w:rPr>
                      <w:sz w:val="20"/>
                      <w:szCs w:val="20"/>
                    </w:rPr>
                    <w:t>Undetected product distribution risk</w:t>
                  </w:r>
                </w:p>
              </w:tc>
            </w:tr>
          </w:tbl>
          <w:p w14:paraId="353AABB1" w14:textId="77777777" w:rsidR="00D67C92" w:rsidRDefault="00D67C92"/>
        </w:tc>
      </w:tr>
    </w:tbl>
    <w:p w14:paraId="010EF855" w14:textId="77777777" w:rsidR="00D67C92" w:rsidRDefault="00D67C92">
      <w:pPr>
        <w:spacing w:after="220"/>
      </w:pPr>
    </w:p>
    <w:p w14:paraId="365980F0" w14:textId="77777777" w:rsidR="00D67C92" w:rsidRDefault="00000000">
      <w:pPr>
        <w:pStyle w:val="Heading1"/>
      </w:pPr>
      <w:r>
        <w:t>PROJECT OBJECTIVES</w:t>
      </w:r>
    </w:p>
    <w:p w14:paraId="22B44989" w14:textId="77777777" w:rsidR="00D67C92" w:rsidRDefault="00D67C92">
      <w:pPr>
        <w:pBdr>
          <w:bottom w:val="single" w:sz="12" w:space="1" w:color="C17A2F"/>
        </w:pBdr>
        <w:spacing w:before="80"/>
      </w:pPr>
    </w:p>
    <w:p w14:paraId="7975E39C" w14:textId="77777777" w:rsidR="00D67C92" w:rsidRDefault="00D67C92">
      <w:pPr>
        <w:spacing w:after="1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66"/>
        <w:gridCol w:w="4874"/>
      </w:tblGrid>
      <w:tr w:rsidR="00D67C92" w14:paraId="03A8E4CE" w14:textId="77777777">
        <w:tc>
          <w:tcPr>
            <w:tcW w:w="0" w:type="auto"/>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160" w:type="dxa"/>
            </w:tcMar>
          </w:tcPr>
          <w:p w14:paraId="3AA9C584" w14:textId="2E67291F" w:rsidR="00D67C92" w:rsidRDefault="005773DF">
            <w:pPr>
              <w:spacing w:after="120"/>
            </w:pPr>
            <w:r>
              <w:rPr>
                <w:b/>
                <w:bCs/>
                <w:color w:val="C17A2F"/>
                <w:sz w:val="26"/>
                <w:szCs w:val="26"/>
              </w:rPr>
              <w:t>01 Build</w:t>
            </w:r>
            <w:r w:rsidR="00000000">
              <w:rPr>
                <w:sz w:val="20"/>
                <w:szCs w:val="20"/>
              </w:rPr>
              <w:t xml:space="preserve"> a structured loan portfolio dataset representing retail and SME lending</w:t>
            </w:r>
          </w:p>
          <w:p w14:paraId="1E0B3DE2" w14:textId="76602B2D" w:rsidR="00D67C92" w:rsidRDefault="005773DF">
            <w:pPr>
              <w:spacing w:after="120"/>
            </w:pPr>
            <w:r>
              <w:rPr>
                <w:b/>
                <w:bCs/>
                <w:color w:val="C17A2F"/>
                <w:sz w:val="26"/>
                <w:szCs w:val="26"/>
              </w:rPr>
              <w:t>02 Apply</w:t>
            </w:r>
            <w:r w:rsidR="00000000">
              <w:rPr>
                <w:sz w:val="20"/>
                <w:szCs w:val="20"/>
              </w:rPr>
              <w:t xml:space="preserve"> advanced Excel formulas to model customer, loan, and branch relationships</w:t>
            </w:r>
          </w:p>
          <w:p w14:paraId="3051D447" w14:textId="0B03FFCC" w:rsidR="00D67C92" w:rsidRDefault="005773DF">
            <w:pPr>
              <w:spacing w:after="120"/>
            </w:pPr>
            <w:r>
              <w:rPr>
                <w:b/>
                <w:bCs/>
                <w:color w:val="C17A2F"/>
                <w:sz w:val="26"/>
                <w:szCs w:val="26"/>
              </w:rPr>
              <w:t>03 Classify</w:t>
            </w:r>
            <w:r w:rsidR="00000000">
              <w:rPr>
                <w:sz w:val="20"/>
                <w:szCs w:val="20"/>
              </w:rPr>
              <w:t xml:space="preserve"> loans based on delinquency and credit risk indicators</w:t>
            </w:r>
          </w:p>
          <w:p w14:paraId="4E498514" w14:textId="575B2C10" w:rsidR="00D67C92" w:rsidRDefault="005773DF">
            <w:pPr>
              <w:spacing w:after="120"/>
            </w:pPr>
            <w:r>
              <w:rPr>
                <w:b/>
                <w:bCs/>
                <w:color w:val="C17A2F"/>
                <w:sz w:val="26"/>
                <w:szCs w:val="26"/>
              </w:rPr>
              <w:t>04 Evaluate</w:t>
            </w:r>
            <w:r w:rsidR="00000000">
              <w:rPr>
                <w:sz w:val="20"/>
                <w:szCs w:val="20"/>
              </w:rPr>
              <w:t xml:space="preserve"> collateral adequacy using coverage ratios</w:t>
            </w:r>
          </w:p>
        </w:tc>
        <w:tc>
          <w:tcPr>
            <w:tcW w:w="0" w:type="auto"/>
            <w:tcBorders>
              <w:top w:val="none" w:sz="0" w:space="0" w:color="FFFFFF"/>
              <w:left w:val="none" w:sz="0" w:space="0" w:color="FFFFFF"/>
              <w:bottom w:val="none" w:sz="0" w:space="0" w:color="FFFFFF"/>
              <w:right w:val="none" w:sz="0" w:space="0" w:color="FFFFFF"/>
            </w:tcBorders>
            <w:shd w:val="clear" w:color="auto" w:fill="FFFFFF"/>
            <w:tcMar>
              <w:top w:w="0" w:type="dxa"/>
              <w:left w:w="160" w:type="dxa"/>
              <w:bottom w:w="0" w:type="dxa"/>
              <w:right w:w="0" w:type="dxa"/>
            </w:tcMar>
          </w:tcPr>
          <w:p w14:paraId="75832F92" w14:textId="421751FE" w:rsidR="00D67C92" w:rsidRDefault="005773DF">
            <w:pPr>
              <w:spacing w:after="120"/>
            </w:pPr>
            <w:r>
              <w:rPr>
                <w:b/>
                <w:bCs/>
                <w:color w:val="C17A2F"/>
                <w:sz w:val="26"/>
                <w:szCs w:val="26"/>
              </w:rPr>
              <w:t>05 Calculate</w:t>
            </w:r>
            <w:r w:rsidR="00000000">
              <w:rPr>
                <w:sz w:val="20"/>
                <w:szCs w:val="20"/>
              </w:rPr>
              <w:t xml:space="preserve"> portfolio exposure metrics and risk indicators</w:t>
            </w:r>
          </w:p>
          <w:p w14:paraId="44C4F60A" w14:textId="32D6AE31" w:rsidR="00D67C92" w:rsidRDefault="005773DF">
            <w:pPr>
              <w:spacing w:after="120"/>
            </w:pPr>
            <w:r>
              <w:rPr>
                <w:b/>
                <w:bCs/>
                <w:color w:val="C17A2F"/>
                <w:sz w:val="26"/>
                <w:szCs w:val="26"/>
              </w:rPr>
              <w:t>06 Develop</w:t>
            </w:r>
            <w:r w:rsidR="00000000">
              <w:rPr>
                <w:sz w:val="20"/>
                <w:szCs w:val="20"/>
              </w:rPr>
              <w:t xml:space="preserve"> an executive dashboard to </w:t>
            </w:r>
            <w:r>
              <w:rPr>
                <w:sz w:val="20"/>
                <w:szCs w:val="20"/>
              </w:rPr>
              <w:t>visualize</w:t>
            </w:r>
            <w:r w:rsidR="00000000">
              <w:rPr>
                <w:sz w:val="20"/>
                <w:szCs w:val="20"/>
              </w:rPr>
              <w:t xml:space="preserve"> portfolio risk and performance</w:t>
            </w:r>
          </w:p>
          <w:p w14:paraId="531FBD2A" w14:textId="048A6852" w:rsidR="00D67C92" w:rsidRDefault="005773DF">
            <w:pPr>
              <w:spacing w:after="120"/>
            </w:pPr>
            <w:r>
              <w:rPr>
                <w:b/>
                <w:bCs/>
                <w:color w:val="C17A2F"/>
                <w:sz w:val="26"/>
                <w:szCs w:val="26"/>
              </w:rPr>
              <w:t>07 Demonstrate</w:t>
            </w:r>
            <w:r w:rsidR="00000000">
              <w:rPr>
                <w:sz w:val="20"/>
                <w:szCs w:val="20"/>
              </w:rPr>
              <w:t xml:space="preserve"> advanced Excel techniques in financial analytics</w:t>
            </w:r>
          </w:p>
        </w:tc>
      </w:tr>
    </w:tbl>
    <w:p w14:paraId="015E5F93" w14:textId="77777777" w:rsidR="00D67C92" w:rsidRDefault="00000000">
      <w:r>
        <w:br w:type="page"/>
      </w:r>
    </w:p>
    <w:p w14:paraId="1C852860" w14:textId="77777777" w:rsidR="00D67C92" w:rsidRDefault="00000000">
      <w:pPr>
        <w:pStyle w:val="Heading1"/>
      </w:pPr>
      <w:r>
        <w:lastRenderedPageBreak/>
        <w:t>DATASET DESCRIPTION</w:t>
      </w:r>
    </w:p>
    <w:p w14:paraId="3B6AB787" w14:textId="77777777" w:rsidR="00D67C92" w:rsidRDefault="00D67C92">
      <w:pPr>
        <w:pBdr>
          <w:bottom w:val="single" w:sz="12" w:space="1" w:color="C17A2F"/>
        </w:pBdr>
        <w:spacing w:before="80"/>
      </w:pPr>
    </w:p>
    <w:p w14:paraId="080F946B" w14:textId="77777777" w:rsidR="00D67C92" w:rsidRDefault="00D67C92">
      <w:pPr>
        <w:spacing w:after="100"/>
      </w:pPr>
    </w:p>
    <w:p w14:paraId="58BD8AE9" w14:textId="77777777" w:rsidR="00D67C92" w:rsidRDefault="00000000">
      <w:pPr>
        <w:spacing w:after="140"/>
      </w:pPr>
      <w:r>
        <w:rPr>
          <w:color w:val="6B7280"/>
          <w:sz w:val="20"/>
          <w:szCs w:val="20"/>
        </w:rPr>
        <w:t>The model uses a simulated dataset of 2,000 loan records, each representing a customer loan issued by the bank across multiple branches, products, and borrower profiles.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640"/>
      </w:tblGrid>
      <w:tr w:rsidR="00D67C92" w14:paraId="64897214" w14:textId="77777777">
        <w:trPr>
          <w:tblHeader/>
        </w:trPr>
        <w:tc>
          <w:tcPr>
            <w:tcW w:w="320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7A86F5C4" w14:textId="77777777" w:rsidR="00D67C92" w:rsidRDefault="00000000">
            <w:pPr>
              <w:jc w:val="center"/>
            </w:pPr>
            <w:r>
              <w:rPr>
                <w:b/>
                <w:bCs/>
                <w:color w:val="FDF3DC"/>
                <w:sz w:val="19"/>
                <w:szCs w:val="19"/>
              </w:rPr>
              <w:t>Variable</w:t>
            </w:r>
          </w:p>
        </w:tc>
        <w:tc>
          <w:tcPr>
            <w:tcW w:w="664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268F5A57" w14:textId="77777777" w:rsidR="00D67C92" w:rsidRDefault="00000000">
            <w:pPr>
              <w:jc w:val="center"/>
            </w:pPr>
            <w:r>
              <w:rPr>
                <w:b/>
                <w:bCs/>
                <w:color w:val="FDF3DC"/>
                <w:sz w:val="19"/>
                <w:szCs w:val="19"/>
              </w:rPr>
              <w:t>Description</w:t>
            </w:r>
          </w:p>
        </w:tc>
      </w:tr>
      <w:tr w:rsidR="00D67C92" w14:paraId="39E0571F" w14:textId="77777777">
        <w:tc>
          <w:tcPr>
            <w:tcW w:w="32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07EA4522" w14:textId="77777777" w:rsidR="00D67C92" w:rsidRDefault="00000000">
            <w:pPr>
              <w:jc w:val="center"/>
            </w:pPr>
            <w:r>
              <w:rPr>
                <w:sz w:val="19"/>
                <w:szCs w:val="19"/>
              </w:rPr>
              <w:t>Customer ID</w:t>
            </w:r>
          </w:p>
        </w:tc>
        <w:tc>
          <w:tcPr>
            <w:tcW w:w="66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416AD0FD" w14:textId="77777777" w:rsidR="00D67C92" w:rsidRDefault="00000000">
            <w:pPr>
              <w:jc w:val="center"/>
            </w:pPr>
            <w:r>
              <w:rPr>
                <w:sz w:val="19"/>
                <w:szCs w:val="19"/>
              </w:rPr>
              <w:t>Unique identifier for each borrower</w:t>
            </w:r>
          </w:p>
        </w:tc>
      </w:tr>
      <w:tr w:rsidR="00D67C92" w14:paraId="54A6F7A0" w14:textId="77777777">
        <w:tc>
          <w:tcPr>
            <w:tcW w:w="32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6E7B189A" w14:textId="77777777" w:rsidR="00D67C92" w:rsidRDefault="00000000">
            <w:pPr>
              <w:jc w:val="center"/>
            </w:pPr>
            <w:r>
              <w:rPr>
                <w:sz w:val="19"/>
                <w:szCs w:val="19"/>
              </w:rPr>
              <w:t>Branch</w:t>
            </w:r>
          </w:p>
        </w:tc>
        <w:tc>
          <w:tcPr>
            <w:tcW w:w="66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036BABB5" w14:textId="77777777" w:rsidR="00D67C92" w:rsidRDefault="00000000">
            <w:pPr>
              <w:jc w:val="center"/>
            </w:pPr>
            <w:r>
              <w:rPr>
                <w:sz w:val="19"/>
                <w:szCs w:val="19"/>
              </w:rPr>
              <w:t>Branch where the loan was issued</w:t>
            </w:r>
          </w:p>
        </w:tc>
      </w:tr>
      <w:tr w:rsidR="00D67C92" w14:paraId="42C59D5A" w14:textId="77777777">
        <w:tc>
          <w:tcPr>
            <w:tcW w:w="32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247689CC" w14:textId="77777777" w:rsidR="00D67C92" w:rsidRDefault="00000000">
            <w:pPr>
              <w:jc w:val="center"/>
            </w:pPr>
            <w:r>
              <w:rPr>
                <w:sz w:val="19"/>
                <w:szCs w:val="19"/>
              </w:rPr>
              <w:t>Loan Type</w:t>
            </w:r>
          </w:p>
        </w:tc>
        <w:tc>
          <w:tcPr>
            <w:tcW w:w="66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72911453" w14:textId="77777777" w:rsidR="00D67C92" w:rsidRDefault="00000000">
            <w:pPr>
              <w:jc w:val="center"/>
            </w:pPr>
            <w:r>
              <w:rPr>
                <w:sz w:val="19"/>
                <w:szCs w:val="19"/>
              </w:rPr>
              <w:t>Mortgage, SME, Personal, or Asset Finance</w:t>
            </w:r>
          </w:p>
        </w:tc>
      </w:tr>
      <w:tr w:rsidR="00D67C92" w14:paraId="0F6DAB22" w14:textId="77777777">
        <w:tc>
          <w:tcPr>
            <w:tcW w:w="32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3232606F" w14:textId="77777777" w:rsidR="00D67C92" w:rsidRDefault="00000000">
            <w:pPr>
              <w:jc w:val="center"/>
            </w:pPr>
            <w:r>
              <w:rPr>
                <w:sz w:val="19"/>
                <w:szCs w:val="19"/>
              </w:rPr>
              <w:t>Loan Amount</w:t>
            </w:r>
          </w:p>
        </w:tc>
        <w:tc>
          <w:tcPr>
            <w:tcW w:w="66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51AA5AE4" w14:textId="77777777" w:rsidR="00D67C92" w:rsidRDefault="00000000">
            <w:pPr>
              <w:jc w:val="center"/>
            </w:pPr>
            <w:r>
              <w:rPr>
                <w:sz w:val="19"/>
                <w:szCs w:val="19"/>
              </w:rPr>
              <w:t>Total credit exposure issued to the borrower</w:t>
            </w:r>
          </w:p>
        </w:tc>
      </w:tr>
      <w:tr w:rsidR="00D67C92" w14:paraId="711025C9" w14:textId="77777777">
        <w:tc>
          <w:tcPr>
            <w:tcW w:w="32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7D4AE3B5" w14:textId="77777777" w:rsidR="00D67C92" w:rsidRDefault="00000000">
            <w:pPr>
              <w:jc w:val="center"/>
            </w:pPr>
            <w:r>
              <w:rPr>
                <w:sz w:val="19"/>
                <w:szCs w:val="19"/>
              </w:rPr>
              <w:t>Interest Rate</w:t>
            </w:r>
          </w:p>
        </w:tc>
        <w:tc>
          <w:tcPr>
            <w:tcW w:w="66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3D0E84F9" w14:textId="77777777" w:rsidR="00D67C92" w:rsidRDefault="00000000">
            <w:pPr>
              <w:jc w:val="center"/>
            </w:pPr>
            <w:r>
              <w:rPr>
                <w:sz w:val="19"/>
                <w:szCs w:val="19"/>
              </w:rPr>
              <w:t>Lending rate applied to the loan</w:t>
            </w:r>
          </w:p>
        </w:tc>
      </w:tr>
      <w:tr w:rsidR="00D67C92" w14:paraId="75A24719" w14:textId="77777777">
        <w:tc>
          <w:tcPr>
            <w:tcW w:w="32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13868E5A" w14:textId="77777777" w:rsidR="00D67C92" w:rsidRDefault="00000000">
            <w:pPr>
              <w:jc w:val="center"/>
            </w:pPr>
            <w:r>
              <w:rPr>
                <w:sz w:val="19"/>
                <w:szCs w:val="19"/>
              </w:rPr>
              <w:t>Loan Tenure</w:t>
            </w:r>
          </w:p>
        </w:tc>
        <w:tc>
          <w:tcPr>
            <w:tcW w:w="66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2C0FCFC3" w14:textId="77777777" w:rsidR="00D67C92" w:rsidRDefault="00000000">
            <w:pPr>
              <w:jc w:val="center"/>
            </w:pPr>
            <w:r>
              <w:rPr>
                <w:sz w:val="19"/>
                <w:szCs w:val="19"/>
              </w:rPr>
              <w:t>Loan duration in months</w:t>
            </w:r>
          </w:p>
        </w:tc>
      </w:tr>
      <w:tr w:rsidR="00D67C92" w14:paraId="3DDF5BCC" w14:textId="77777777">
        <w:tc>
          <w:tcPr>
            <w:tcW w:w="32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6D8E936C" w14:textId="77777777" w:rsidR="00D67C92" w:rsidRDefault="00000000">
            <w:pPr>
              <w:jc w:val="center"/>
            </w:pPr>
            <w:r>
              <w:rPr>
                <w:sz w:val="19"/>
                <w:szCs w:val="19"/>
              </w:rPr>
              <w:t>Monthly Income</w:t>
            </w:r>
          </w:p>
        </w:tc>
        <w:tc>
          <w:tcPr>
            <w:tcW w:w="66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11BA947E" w14:textId="77777777" w:rsidR="00D67C92" w:rsidRDefault="00000000">
            <w:pPr>
              <w:jc w:val="center"/>
            </w:pPr>
            <w:r>
              <w:rPr>
                <w:sz w:val="19"/>
                <w:szCs w:val="19"/>
              </w:rPr>
              <w:t>Borrower income level</w:t>
            </w:r>
          </w:p>
        </w:tc>
      </w:tr>
      <w:tr w:rsidR="00D67C92" w14:paraId="0926A0BF" w14:textId="77777777">
        <w:tc>
          <w:tcPr>
            <w:tcW w:w="32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3CD17986" w14:textId="77777777" w:rsidR="00D67C92" w:rsidRDefault="00000000">
            <w:pPr>
              <w:jc w:val="center"/>
            </w:pPr>
            <w:r>
              <w:rPr>
                <w:sz w:val="19"/>
                <w:szCs w:val="19"/>
              </w:rPr>
              <w:t>Risk Score</w:t>
            </w:r>
          </w:p>
        </w:tc>
        <w:tc>
          <w:tcPr>
            <w:tcW w:w="66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4B2FF068" w14:textId="77777777" w:rsidR="00D67C92" w:rsidRDefault="00000000">
            <w:pPr>
              <w:jc w:val="center"/>
            </w:pPr>
            <w:r>
              <w:rPr>
                <w:sz w:val="19"/>
                <w:szCs w:val="19"/>
              </w:rPr>
              <w:t>Simulated credit risk score</w:t>
            </w:r>
          </w:p>
        </w:tc>
      </w:tr>
      <w:tr w:rsidR="00D67C92" w14:paraId="662844BF" w14:textId="77777777">
        <w:tc>
          <w:tcPr>
            <w:tcW w:w="32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29F1867F" w14:textId="77777777" w:rsidR="00D67C92" w:rsidRDefault="00000000">
            <w:pPr>
              <w:jc w:val="center"/>
            </w:pPr>
            <w:r>
              <w:rPr>
                <w:sz w:val="19"/>
                <w:szCs w:val="19"/>
              </w:rPr>
              <w:t>Risk Category</w:t>
            </w:r>
          </w:p>
        </w:tc>
        <w:tc>
          <w:tcPr>
            <w:tcW w:w="66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31C17813" w14:textId="77777777" w:rsidR="00D67C92" w:rsidRDefault="00000000">
            <w:pPr>
              <w:jc w:val="center"/>
            </w:pPr>
            <w:r>
              <w:rPr>
                <w:sz w:val="19"/>
                <w:szCs w:val="19"/>
              </w:rPr>
              <w:t>Classification of borrower risk profile</w:t>
            </w:r>
          </w:p>
        </w:tc>
      </w:tr>
      <w:tr w:rsidR="00D67C92" w14:paraId="4A1C1117" w14:textId="77777777">
        <w:tc>
          <w:tcPr>
            <w:tcW w:w="32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31E2370B" w14:textId="77777777" w:rsidR="00D67C92" w:rsidRDefault="00000000">
            <w:pPr>
              <w:jc w:val="center"/>
            </w:pPr>
            <w:r>
              <w:rPr>
                <w:sz w:val="19"/>
                <w:szCs w:val="19"/>
              </w:rPr>
              <w:t>Loan Status</w:t>
            </w:r>
          </w:p>
        </w:tc>
        <w:tc>
          <w:tcPr>
            <w:tcW w:w="66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4E666ACD" w14:textId="77777777" w:rsidR="00D67C92" w:rsidRDefault="00000000">
            <w:pPr>
              <w:jc w:val="center"/>
            </w:pPr>
            <w:r>
              <w:rPr>
                <w:sz w:val="19"/>
                <w:szCs w:val="19"/>
              </w:rPr>
              <w:t>Performing, Watchlist, or Default</w:t>
            </w:r>
          </w:p>
        </w:tc>
      </w:tr>
      <w:tr w:rsidR="00D67C92" w14:paraId="28B6A872" w14:textId="77777777">
        <w:tc>
          <w:tcPr>
            <w:tcW w:w="32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31C8784C" w14:textId="77777777" w:rsidR="00D67C92" w:rsidRDefault="00000000">
            <w:pPr>
              <w:jc w:val="center"/>
            </w:pPr>
            <w:r>
              <w:rPr>
                <w:sz w:val="19"/>
                <w:szCs w:val="19"/>
              </w:rPr>
              <w:t>Collateral Value</w:t>
            </w:r>
          </w:p>
        </w:tc>
        <w:tc>
          <w:tcPr>
            <w:tcW w:w="66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72BBC663" w14:textId="77777777" w:rsidR="00D67C92" w:rsidRDefault="00000000">
            <w:pPr>
              <w:jc w:val="center"/>
            </w:pPr>
            <w:r>
              <w:rPr>
                <w:sz w:val="19"/>
                <w:szCs w:val="19"/>
              </w:rPr>
              <w:t>Value of assets backing the loan</w:t>
            </w:r>
          </w:p>
        </w:tc>
      </w:tr>
      <w:tr w:rsidR="00D67C92" w14:paraId="486C274F" w14:textId="77777777">
        <w:tc>
          <w:tcPr>
            <w:tcW w:w="32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0268E739" w14:textId="77777777" w:rsidR="00D67C92" w:rsidRDefault="00000000">
            <w:pPr>
              <w:jc w:val="center"/>
            </w:pPr>
            <w:r>
              <w:rPr>
                <w:sz w:val="19"/>
                <w:szCs w:val="19"/>
              </w:rPr>
              <w:t>Collateral Coverage Ratio</w:t>
            </w:r>
          </w:p>
        </w:tc>
        <w:tc>
          <w:tcPr>
            <w:tcW w:w="66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0D7B25F7" w14:textId="77777777" w:rsidR="00D67C92" w:rsidRDefault="00000000">
            <w:pPr>
              <w:jc w:val="center"/>
            </w:pPr>
            <w:r>
              <w:rPr>
                <w:sz w:val="19"/>
                <w:szCs w:val="19"/>
              </w:rPr>
              <w:t>Ratio of collateral value to loan exposure</w:t>
            </w:r>
          </w:p>
        </w:tc>
      </w:tr>
    </w:tbl>
    <w:p w14:paraId="782CE37A" w14:textId="77777777" w:rsidR="00D67C92" w:rsidRDefault="00D67C92">
      <w:pPr>
        <w:spacing w:after="200"/>
      </w:pPr>
    </w:p>
    <w:p w14:paraId="6D1FC118" w14:textId="77777777" w:rsidR="00D67C92" w:rsidRDefault="00000000">
      <w:pPr>
        <w:pStyle w:val="Heading1"/>
      </w:pPr>
      <w:r>
        <w:t>ANALYTICAL APPROACH</w:t>
      </w:r>
    </w:p>
    <w:p w14:paraId="763FA6A2" w14:textId="77777777" w:rsidR="00D67C92" w:rsidRDefault="00D67C92">
      <w:pPr>
        <w:pBdr>
          <w:bottom w:val="single" w:sz="12" w:space="1" w:color="C17A2F"/>
        </w:pBdr>
        <w:spacing w:before="80"/>
      </w:pPr>
    </w:p>
    <w:p w14:paraId="02E88ADE" w14:textId="77777777" w:rsidR="00D67C92" w:rsidRDefault="00D67C92">
      <w:pPr>
        <w:spacing w:after="100"/>
      </w:pPr>
    </w:p>
    <w:p w14:paraId="2E241D6C" w14:textId="77777777" w:rsidR="00D67C92" w:rsidRDefault="00000000">
      <w:pPr>
        <w:spacing w:after="140"/>
      </w:pPr>
      <w:r>
        <w:rPr>
          <w:color w:val="6B7280"/>
          <w:sz w:val="20"/>
          <w:szCs w:val="20"/>
        </w:rPr>
        <w:t>The analytical model was developed using advanced Excel formulas and structured data modelling techniques: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83"/>
        <w:gridCol w:w="3449"/>
        <w:gridCol w:w="3108"/>
      </w:tblGrid>
      <w:tr w:rsidR="00D67C92" w14:paraId="304A26ED" w14:textId="77777777">
        <w:tc>
          <w:tcPr>
            <w:tcW w:w="0" w:type="auto"/>
            <w:tcBorders>
              <w:top w:val="single" w:sz="12" w:space="0" w:color="4E2A04"/>
              <w:left w:val="single" w:sz="4" w:space="0" w:color="EDE0C4"/>
              <w:bottom w:val="single" w:sz="4" w:space="0" w:color="EDE0C4"/>
              <w:right w:val="single" w:sz="4" w:space="0" w:color="EDE0C4"/>
            </w:tcBorders>
            <w:shd w:val="clear" w:color="auto" w:fill="F5EDD8"/>
            <w:tcMar>
              <w:top w:w="160" w:type="dxa"/>
              <w:left w:w="200" w:type="dxa"/>
              <w:bottom w:w="160" w:type="dxa"/>
              <w:right w:w="200" w:type="dxa"/>
            </w:tcMar>
          </w:tcPr>
          <w:p w14:paraId="3A89899C" w14:textId="77777777" w:rsidR="00D67C92" w:rsidRDefault="00000000">
            <w:pPr>
              <w:spacing w:after="60"/>
            </w:pPr>
            <w:r>
              <w:rPr>
                <w:b/>
                <w:bCs/>
                <w:color w:val="4E2A04"/>
                <w:sz w:val="20"/>
                <w:szCs w:val="20"/>
              </w:rPr>
              <w:t>Data Generation</w:t>
            </w:r>
          </w:p>
          <w:p w14:paraId="4970FA31" w14:textId="77777777" w:rsidR="00D67C92" w:rsidRDefault="00000000">
            <w:r>
              <w:rPr>
                <w:color w:val="6B7280"/>
                <w:sz w:val="18"/>
                <w:szCs w:val="18"/>
              </w:rPr>
              <w:t>Structured formulas to create a realistic simulated dataset</w:t>
            </w:r>
          </w:p>
        </w:tc>
        <w:tc>
          <w:tcPr>
            <w:tcW w:w="0" w:type="auto"/>
            <w:tcBorders>
              <w:top w:val="single" w:sz="12" w:space="0" w:color="8B4513"/>
              <w:left w:val="single" w:sz="4" w:space="0" w:color="EDE0C4"/>
              <w:bottom w:val="single" w:sz="4" w:space="0" w:color="EDE0C4"/>
              <w:right w:val="single" w:sz="4" w:space="0" w:color="EDE0C4"/>
            </w:tcBorders>
            <w:shd w:val="clear" w:color="auto" w:fill="F5EDD8"/>
            <w:tcMar>
              <w:top w:w="160" w:type="dxa"/>
              <w:left w:w="200" w:type="dxa"/>
              <w:bottom w:w="160" w:type="dxa"/>
              <w:right w:w="200" w:type="dxa"/>
            </w:tcMar>
          </w:tcPr>
          <w:p w14:paraId="0E3AFF72" w14:textId="77777777" w:rsidR="00D67C92" w:rsidRDefault="00000000">
            <w:pPr>
              <w:spacing w:after="60"/>
            </w:pPr>
            <w:r>
              <w:rPr>
                <w:b/>
                <w:bCs/>
                <w:color w:val="8B4513"/>
                <w:sz w:val="20"/>
                <w:szCs w:val="20"/>
              </w:rPr>
              <w:t>Lookup Operations</w:t>
            </w:r>
          </w:p>
          <w:p w14:paraId="0866837F" w14:textId="77777777" w:rsidR="00D67C92" w:rsidRDefault="00000000">
            <w:r>
              <w:rPr>
                <w:color w:val="6B7280"/>
                <w:sz w:val="18"/>
                <w:szCs w:val="18"/>
              </w:rPr>
              <w:t>VLOOKUP, XLOOKUP, and INDEX MATCH for relational lookups</w:t>
            </w:r>
          </w:p>
        </w:tc>
        <w:tc>
          <w:tcPr>
            <w:tcW w:w="0" w:type="auto"/>
            <w:tcBorders>
              <w:top w:val="single" w:sz="12" w:space="0" w:color="8B2500"/>
              <w:left w:val="single" w:sz="4" w:space="0" w:color="EDE0C4"/>
              <w:bottom w:val="single" w:sz="4" w:space="0" w:color="EDE0C4"/>
              <w:right w:val="single" w:sz="4" w:space="0" w:color="EDE0C4"/>
            </w:tcBorders>
            <w:shd w:val="clear" w:color="auto" w:fill="F5EDD8"/>
            <w:tcMar>
              <w:top w:w="160" w:type="dxa"/>
              <w:left w:w="200" w:type="dxa"/>
              <w:bottom w:w="160" w:type="dxa"/>
              <w:right w:w="200" w:type="dxa"/>
            </w:tcMar>
          </w:tcPr>
          <w:p w14:paraId="5FCF52C3" w14:textId="77777777" w:rsidR="00D67C92" w:rsidRDefault="00000000">
            <w:pPr>
              <w:spacing w:after="60"/>
            </w:pPr>
            <w:r>
              <w:rPr>
                <w:b/>
                <w:bCs/>
                <w:color w:val="8B2500"/>
                <w:sz w:val="20"/>
                <w:szCs w:val="20"/>
              </w:rPr>
              <w:t>Logical Classification</w:t>
            </w:r>
          </w:p>
          <w:p w14:paraId="2FA6E273" w14:textId="77777777" w:rsidR="00D67C92" w:rsidRDefault="00000000">
            <w:r>
              <w:rPr>
                <w:color w:val="6B7280"/>
                <w:sz w:val="18"/>
                <w:szCs w:val="18"/>
              </w:rPr>
              <w:t>IF, IFS, AND, OR functions for risk category assignment</w:t>
            </w:r>
          </w:p>
        </w:tc>
      </w:tr>
      <w:tr w:rsidR="00D67C92" w14:paraId="4EA33C07" w14:textId="77777777">
        <w:tc>
          <w:tcPr>
            <w:tcW w:w="0" w:type="auto"/>
            <w:tcBorders>
              <w:top w:val="single" w:sz="4" w:space="0" w:color="EDE0C4"/>
              <w:left w:val="single" w:sz="4" w:space="0" w:color="EDE0C4"/>
              <w:bottom w:val="single" w:sz="4" w:space="0" w:color="EDE0C4"/>
              <w:right w:val="single" w:sz="4" w:space="0" w:color="EDE0C4"/>
            </w:tcBorders>
            <w:shd w:val="clear" w:color="auto" w:fill="FFFDF7"/>
            <w:tcMar>
              <w:top w:w="160" w:type="dxa"/>
              <w:left w:w="200" w:type="dxa"/>
              <w:bottom w:w="160" w:type="dxa"/>
              <w:right w:w="200" w:type="dxa"/>
            </w:tcMar>
          </w:tcPr>
          <w:p w14:paraId="27C42113" w14:textId="77777777" w:rsidR="00D67C92" w:rsidRDefault="00000000">
            <w:pPr>
              <w:spacing w:after="60"/>
            </w:pPr>
            <w:r>
              <w:rPr>
                <w:b/>
                <w:bCs/>
                <w:color w:val="4E2A04"/>
                <w:sz w:val="20"/>
                <w:szCs w:val="20"/>
              </w:rPr>
              <w:t>Conditional Aggregation</w:t>
            </w:r>
          </w:p>
          <w:p w14:paraId="2A359A9D" w14:textId="77777777" w:rsidR="00D67C92" w:rsidRDefault="00000000">
            <w:r>
              <w:rPr>
                <w:color w:val="6B7280"/>
                <w:sz w:val="18"/>
                <w:szCs w:val="18"/>
              </w:rPr>
              <w:t>SUMIFS, COUNTIFS, AVERAGEIFS for segment-level metrics</w:t>
            </w:r>
          </w:p>
        </w:tc>
        <w:tc>
          <w:tcPr>
            <w:tcW w:w="0" w:type="auto"/>
            <w:tcBorders>
              <w:top w:val="single" w:sz="4" w:space="0" w:color="EDE0C4"/>
              <w:left w:val="single" w:sz="4" w:space="0" w:color="EDE0C4"/>
              <w:bottom w:val="single" w:sz="4" w:space="0" w:color="EDE0C4"/>
              <w:right w:val="single" w:sz="4" w:space="0" w:color="EDE0C4"/>
            </w:tcBorders>
            <w:shd w:val="clear" w:color="auto" w:fill="FFFDF7"/>
            <w:tcMar>
              <w:top w:w="160" w:type="dxa"/>
              <w:left w:w="200" w:type="dxa"/>
              <w:bottom w:w="160" w:type="dxa"/>
              <w:right w:w="200" w:type="dxa"/>
            </w:tcMar>
          </w:tcPr>
          <w:p w14:paraId="6579422A" w14:textId="77777777" w:rsidR="00D67C92" w:rsidRDefault="00000000">
            <w:pPr>
              <w:spacing w:after="60"/>
            </w:pPr>
            <w:r>
              <w:rPr>
                <w:b/>
                <w:bCs/>
                <w:color w:val="8B4513"/>
                <w:sz w:val="20"/>
                <w:szCs w:val="20"/>
              </w:rPr>
              <w:t>Portfolio Metrics</w:t>
            </w:r>
          </w:p>
          <w:p w14:paraId="77EC29E2" w14:textId="77777777" w:rsidR="00D67C92" w:rsidRDefault="00000000">
            <w:r>
              <w:rPr>
                <w:color w:val="6B7280"/>
                <w:sz w:val="18"/>
                <w:szCs w:val="18"/>
              </w:rPr>
              <w:t>SUMPRODUCT and weighted calculations for yield and exposure</w:t>
            </w:r>
          </w:p>
        </w:tc>
        <w:tc>
          <w:tcPr>
            <w:tcW w:w="0" w:type="auto"/>
            <w:tcBorders>
              <w:top w:val="single" w:sz="4" w:space="0" w:color="EDE0C4"/>
              <w:left w:val="single" w:sz="4" w:space="0" w:color="EDE0C4"/>
              <w:bottom w:val="single" w:sz="4" w:space="0" w:color="EDE0C4"/>
              <w:right w:val="single" w:sz="4" w:space="0" w:color="EDE0C4"/>
            </w:tcBorders>
            <w:shd w:val="clear" w:color="auto" w:fill="FFFDF7"/>
            <w:tcMar>
              <w:top w:w="160" w:type="dxa"/>
              <w:left w:w="200" w:type="dxa"/>
              <w:bottom w:w="160" w:type="dxa"/>
              <w:right w:w="200" w:type="dxa"/>
            </w:tcMar>
          </w:tcPr>
          <w:p w14:paraId="3A0FC122" w14:textId="77777777" w:rsidR="00D67C92" w:rsidRDefault="00000000">
            <w:pPr>
              <w:spacing w:after="60"/>
            </w:pPr>
            <w:r>
              <w:rPr>
                <w:b/>
                <w:bCs/>
                <w:color w:val="8B2500"/>
                <w:sz w:val="20"/>
                <w:szCs w:val="20"/>
              </w:rPr>
              <w:t>Interactive Dashboards</w:t>
            </w:r>
          </w:p>
          <w:p w14:paraId="0970FCE9" w14:textId="77777777" w:rsidR="00D67C92" w:rsidRDefault="00000000">
            <w:r>
              <w:rPr>
                <w:color w:val="6B7280"/>
                <w:sz w:val="18"/>
                <w:szCs w:val="18"/>
              </w:rPr>
              <w:t>Pivot tables, slicers, and dynamic charts for reporting</w:t>
            </w:r>
          </w:p>
        </w:tc>
      </w:tr>
    </w:tbl>
    <w:p w14:paraId="6742BA06" w14:textId="77777777" w:rsidR="00D67C92" w:rsidRDefault="00000000">
      <w:r>
        <w:br w:type="page"/>
      </w:r>
    </w:p>
    <w:p w14:paraId="05E75E16" w14:textId="77777777" w:rsidR="00D67C92" w:rsidRDefault="00000000">
      <w:pPr>
        <w:pStyle w:val="Heading1"/>
      </w:pPr>
      <w:r>
        <w:lastRenderedPageBreak/>
        <w:t>KEY PORTFOLIO METRICS</w:t>
      </w:r>
    </w:p>
    <w:p w14:paraId="181126AB" w14:textId="77777777" w:rsidR="00D67C92" w:rsidRDefault="00D67C92">
      <w:pPr>
        <w:pBdr>
          <w:bottom w:val="single" w:sz="12" w:space="1" w:color="C17A2F"/>
        </w:pBdr>
        <w:spacing w:before="80"/>
      </w:pPr>
    </w:p>
    <w:p w14:paraId="65053C32" w14:textId="77777777" w:rsidR="00D67C92" w:rsidRDefault="00D67C92">
      <w:pPr>
        <w:spacing w:after="100"/>
      </w:pPr>
    </w:p>
    <w:p w14:paraId="14E32E59" w14:textId="77777777" w:rsidR="00D67C92" w:rsidRDefault="00000000">
      <w:pPr>
        <w:spacing w:after="140"/>
      </w:pPr>
      <w:r>
        <w:rPr>
          <w:color w:val="6B7280"/>
          <w:sz w:val="20"/>
          <w:szCs w:val="20"/>
        </w:rPr>
        <w:t>The model calculates seven core metrics used by banks to monitor credit risk and portfolio performance: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80"/>
        <w:gridCol w:w="3280"/>
        <w:gridCol w:w="3280"/>
      </w:tblGrid>
      <w:tr w:rsidR="00D67C92" w14:paraId="423FFD18" w14:textId="77777777">
        <w:tc>
          <w:tcPr>
            <w:tcW w:w="3280" w:type="dxa"/>
            <w:tcBorders>
              <w:top w:val="single" w:sz="8" w:space="0" w:color="4E2A04"/>
              <w:left w:val="single" w:sz="4" w:space="0" w:color="EDE0C4"/>
              <w:bottom w:val="single" w:sz="4" w:space="0" w:color="4E2A04"/>
              <w:right w:val="single" w:sz="4" w:space="0" w:color="EDE0C4"/>
            </w:tcBorders>
            <w:shd w:val="clear" w:color="auto" w:fill="F5EDD8"/>
            <w:tcMar>
              <w:top w:w="180" w:type="dxa"/>
              <w:left w:w="180" w:type="dxa"/>
              <w:bottom w:w="180" w:type="dxa"/>
              <w:right w:w="180" w:type="dxa"/>
            </w:tcMar>
            <w:vAlign w:val="center"/>
          </w:tcPr>
          <w:p w14:paraId="6A75BA30" w14:textId="77777777" w:rsidR="00D67C92" w:rsidRDefault="00000000">
            <w:pPr>
              <w:spacing w:after="40"/>
              <w:jc w:val="center"/>
            </w:pPr>
            <w:r>
              <w:rPr>
                <w:b/>
                <w:bCs/>
                <w:color w:val="4E2A04"/>
                <w:sz w:val="52"/>
                <w:szCs w:val="52"/>
              </w:rPr>
              <w:t>KES 1.9B+</w:t>
            </w:r>
          </w:p>
          <w:p w14:paraId="4174A392" w14:textId="77777777" w:rsidR="00D67C92" w:rsidRDefault="00000000">
            <w:pPr>
              <w:spacing w:after="20"/>
              <w:jc w:val="center"/>
            </w:pPr>
            <w:r>
              <w:rPr>
                <w:b/>
                <w:bCs/>
                <w:sz w:val="18"/>
                <w:szCs w:val="18"/>
              </w:rPr>
              <w:t>Total Portfolio Exposure</w:t>
            </w:r>
          </w:p>
          <w:p w14:paraId="32B3F39A" w14:textId="77777777" w:rsidR="00D67C92" w:rsidRDefault="00000000">
            <w:pPr>
              <w:jc w:val="center"/>
            </w:pPr>
            <w:r>
              <w:rPr>
                <w:i/>
                <w:iCs/>
                <w:color w:val="6B7280"/>
                <w:sz w:val="16"/>
                <w:szCs w:val="16"/>
              </w:rPr>
              <w:t>Top branch: Nyeri</w:t>
            </w:r>
          </w:p>
        </w:tc>
        <w:tc>
          <w:tcPr>
            <w:tcW w:w="3280" w:type="dxa"/>
            <w:tcBorders>
              <w:top w:val="single" w:sz="8" w:space="0" w:color="8B4513"/>
              <w:left w:val="single" w:sz="4" w:space="0" w:color="EDE0C4"/>
              <w:bottom w:val="single" w:sz="4" w:space="0" w:color="8B4513"/>
              <w:right w:val="single" w:sz="4" w:space="0" w:color="EDE0C4"/>
            </w:tcBorders>
            <w:shd w:val="clear" w:color="auto" w:fill="FDF3DC"/>
            <w:tcMar>
              <w:top w:w="180" w:type="dxa"/>
              <w:left w:w="180" w:type="dxa"/>
              <w:bottom w:w="180" w:type="dxa"/>
              <w:right w:w="180" w:type="dxa"/>
            </w:tcMar>
            <w:vAlign w:val="center"/>
          </w:tcPr>
          <w:p w14:paraId="3C953370" w14:textId="77777777" w:rsidR="00D67C92" w:rsidRDefault="00000000">
            <w:pPr>
              <w:spacing w:after="40"/>
              <w:jc w:val="center"/>
            </w:pPr>
            <w:r>
              <w:rPr>
                <w:b/>
                <w:bCs/>
                <w:color w:val="8B4513"/>
                <w:sz w:val="52"/>
                <w:szCs w:val="52"/>
              </w:rPr>
              <w:t>73%</w:t>
            </w:r>
          </w:p>
          <w:p w14:paraId="42E31705" w14:textId="77777777" w:rsidR="00D67C92" w:rsidRDefault="00000000">
            <w:pPr>
              <w:spacing w:after="20"/>
              <w:jc w:val="center"/>
            </w:pPr>
            <w:r>
              <w:rPr>
                <w:b/>
                <w:bCs/>
                <w:sz w:val="18"/>
                <w:szCs w:val="18"/>
              </w:rPr>
              <w:t>Mortgage Concentration</w:t>
            </w:r>
          </w:p>
          <w:p w14:paraId="1CF6F1A9" w14:textId="77777777" w:rsidR="00D67C92" w:rsidRDefault="00000000">
            <w:pPr>
              <w:jc w:val="center"/>
            </w:pPr>
            <w:r>
              <w:rPr>
                <w:i/>
                <w:iCs/>
                <w:color w:val="6B7280"/>
                <w:sz w:val="16"/>
                <w:szCs w:val="16"/>
              </w:rPr>
              <w:t>of total lending</w:t>
            </w:r>
          </w:p>
        </w:tc>
        <w:tc>
          <w:tcPr>
            <w:tcW w:w="3280" w:type="dxa"/>
            <w:tcBorders>
              <w:top w:val="single" w:sz="8" w:space="0" w:color="8B2500"/>
              <w:left w:val="single" w:sz="4" w:space="0" w:color="EDE0C4"/>
              <w:bottom w:val="single" w:sz="4" w:space="0" w:color="8B2500"/>
              <w:right w:val="single" w:sz="4" w:space="0" w:color="EDE0C4"/>
            </w:tcBorders>
            <w:shd w:val="clear" w:color="auto" w:fill="FDECEA"/>
            <w:tcMar>
              <w:top w:w="180" w:type="dxa"/>
              <w:left w:w="180" w:type="dxa"/>
              <w:bottom w:w="180" w:type="dxa"/>
              <w:right w:w="180" w:type="dxa"/>
            </w:tcMar>
            <w:vAlign w:val="center"/>
          </w:tcPr>
          <w:p w14:paraId="48A1A7E0" w14:textId="77777777" w:rsidR="00D67C92" w:rsidRDefault="00000000">
            <w:pPr>
              <w:spacing w:after="40"/>
              <w:jc w:val="center"/>
            </w:pPr>
            <w:r>
              <w:rPr>
                <w:b/>
                <w:bCs/>
                <w:color w:val="8B2500"/>
                <w:sz w:val="52"/>
                <w:szCs w:val="52"/>
              </w:rPr>
              <w:t>2</w:t>
            </w:r>
          </w:p>
          <w:p w14:paraId="7CB22126" w14:textId="77777777" w:rsidR="00D67C92" w:rsidRDefault="00000000">
            <w:pPr>
              <w:spacing w:after="20"/>
              <w:jc w:val="center"/>
            </w:pPr>
            <w:r>
              <w:rPr>
                <w:b/>
                <w:bCs/>
                <w:sz w:val="18"/>
                <w:szCs w:val="18"/>
              </w:rPr>
              <w:t>Highest Default Branches</w:t>
            </w:r>
          </w:p>
          <w:p w14:paraId="58AEBAC5" w14:textId="77777777" w:rsidR="00D67C92" w:rsidRDefault="00000000">
            <w:pPr>
              <w:jc w:val="center"/>
            </w:pPr>
            <w:r>
              <w:rPr>
                <w:i/>
                <w:iCs/>
                <w:color w:val="6B7280"/>
                <w:sz w:val="16"/>
                <w:szCs w:val="16"/>
              </w:rPr>
              <w:t>Karen &amp; Kisumu</w:t>
            </w:r>
          </w:p>
        </w:tc>
      </w:tr>
    </w:tbl>
    <w:p w14:paraId="2BDD6048" w14:textId="77777777" w:rsidR="00D67C92" w:rsidRDefault="00D67C92">
      <w:pPr>
        <w:spacing w:after="12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80"/>
        <w:gridCol w:w="3280"/>
        <w:gridCol w:w="3280"/>
      </w:tblGrid>
      <w:tr w:rsidR="00D67C92" w14:paraId="2EF91CFA" w14:textId="77777777">
        <w:tc>
          <w:tcPr>
            <w:tcW w:w="3280" w:type="dxa"/>
            <w:tcBorders>
              <w:top w:val="single" w:sz="8" w:space="0" w:color="4A6741"/>
              <w:left w:val="single" w:sz="4" w:space="0" w:color="EDE0C4"/>
              <w:bottom w:val="single" w:sz="4" w:space="0" w:color="4A6741"/>
              <w:right w:val="single" w:sz="4" w:space="0" w:color="EDE0C4"/>
            </w:tcBorders>
            <w:shd w:val="clear" w:color="auto" w:fill="EBF2E8"/>
            <w:tcMar>
              <w:top w:w="180" w:type="dxa"/>
              <w:left w:w="180" w:type="dxa"/>
              <w:bottom w:w="180" w:type="dxa"/>
              <w:right w:w="180" w:type="dxa"/>
            </w:tcMar>
            <w:vAlign w:val="center"/>
          </w:tcPr>
          <w:p w14:paraId="66C36679" w14:textId="77777777" w:rsidR="00D67C92" w:rsidRDefault="00000000">
            <w:pPr>
              <w:spacing w:after="40"/>
              <w:jc w:val="center"/>
            </w:pPr>
            <w:r>
              <w:rPr>
                <w:b/>
                <w:bCs/>
                <w:color w:val="4A6741"/>
                <w:sz w:val="52"/>
                <w:szCs w:val="52"/>
              </w:rPr>
              <w:t>Weighted</w:t>
            </w:r>
          </w:p>
          <w:p w14:paraId="713F1243" w14:textId="77777777" w:rsidR="00D67C92" w:rsidRDefault="00000000">
            <w:pPr>
              <w:spacing w:after="20"/>
              <w:jc w:val="center"/>
            </w:pPr>
            <w:r>
              <w:rPr>
                <w:b/>
                <w:bCs/>
                <w:sz w:val="18"/>
                <w:szCs w:val="18"/>
              </w:rPr>
              <w:t>Portfolio Yield</w:t>
            </w:r>
          </w:p>
          <w:p w14:paraId="1BAC7A2C" w14:textId="77777777" w:rsidR="00D67C92" w:rsidRDefault="00000000">
            <w:pPr>
              <w:jc w:val="center"/>
            </w:pPr>
            <w:r>
              <w:rPr>
                <w:i/>
                <w:iCs/>
                <w:color w:val="6B7280"/>
                <w:sz w:val="16"/>
                <w:szCs w:val="16"/>
              </w:rPr>
              <w:t>Avg interest rate tracked</w:t>
            </w:r>
          </w:p>
        </w:tc>
        <w:tc>
          <w:tcPr>
            <w:tcW w:w="3280" w:type="dxa"/>
            <w:tcBorders>
              <w:top w:val="single" w:sz="8" w:space="0" w:color="8B4513"/>
              <w:left w:val="single" w:sz="4" w:space="0" w:color="EDE0C4"/>
              <w:bottom w:val="single" w:sz="4" w:space="0" w:color="8B4513"/>
              <w:right w:val="single" w:sz="4" w:space="0" w:color="EDE0C4"/>
            </w:tcBorders>
            <w:shd w:val="clear" w:color="auto" w:fill="FDF3DC"/>
            <w:tcMar>
              <w:top w:w="180" w:type="dxa"/>
              <w:left w:w="180" w:type="dxa"/>
              <w:bottom w:w="180" w:type="dxa"/>
              <w:right w:w="180" w:type="dxa"/>
            </w:tcMar>
            <w:vAlign w:val="center"/>
          </w:tcPr>
          <w:p w14:paraId="42D797C4" w14:textId="77777777" w:rsidR="00D67C92" w:rsidRDefault="00000000">
            <w:pPr>
              <w:spacing w:after="40"/>
              <w:jc w:val="center"/>
            </w:pPr>
            <w:r>
              <w:rPr>
                <w:b/>
                <w:bCs/>
                <w:color w:val="8B4513"/>
                <w:sz w:val="52"/>
                <w:szCs w:val="52"/>
              </w:rPr>
              <w:t>Ratio</w:t>
            </w:r>
          </w:p>
          <w:p w14:paraId="63E6135E" w14:textId="77777777" w:rsidR="00D67C92" w:rsidRDefault="00000000">
            <w:pPr>
              <w:spacing w:after="20"/>
              <w:jc w:val="center"/>
            </w:pPr>
            <w:r>
              <w:rPr>
                <w:b/>
                <w:bCs/>
                <w:sz w:val="18"/>
                <w:szCs w:val="18"/>
              </w:rPr>
              <w:t>Collateral Coverage</w:t>
            </w:r>
          </w:p>
          <w:p w14:paraId="0C81DCD6" w14:textId="77777777" w:rsidR="00D67C92" w:rsidRDefault="00000000">
            <w:pPr>
              <w:jc w:val="center"/>
            </w:pPr>
            <w:r>
              <w:rPr>
                <w:i/>
                <w:iCs/>
                <w:color w:val="6B7280"/>
                <w:sz w:val="16"/>
                <w:szCs w:val="16"/>
              </w:rPr>
              <w:t>Coverage vs. exposure</w:t>
            </w:r>
          </w:p>
        </w:tc>
        <w:tc>
          <w:tcPr>
            <w:tcW w:w="3280" w:type="dxa"/>
            <w:tcBorders>
              <w:top w:val="single" w:sz="8" w:space="0" w:color="4E2A04"/>
              <w:left w:val="single" w:sz="4" w:space="0" w:color="EDE0C4"/>
              <w:bottom w:val="single" w:sz="4" w:space="0" w:color="4E2A04"/>
              <w:right w:val="single" w:sz="4" w:space="0" w:color="EDE0C4"/>
            </w:tcBorders>
            <w:shd w:val="clear" w:color="auto" w:fill="F5EDD8"/>
            <w:tcMar>
              <w:top w:w="180" w:type="dxa"/>
              <w:left w:w="180" w:type="dxa"/>
              <w:bottom w:w="180" w:type="dxa"/>
              <w:right w:w="180" w:type="dxa"/>
            </w:tcMar>
            <w:vAlign w:val="center"/>
          </w:tcPr>
          <w:p w14:paraId="6D01AF7E" w14:textId="77777777" w:rsidR="00D67C92" w:rsidRDefault="00000000">
            <w:pPr>
              <w:spacing w:after="40"/>
              <w:jc w:val="center"/>
            </w:pPr>
            <w:r>
              <w:rPr>
                <w:b/>
                <w:bCs/>
                <w:color w:val="4E2A04"/>
                <w:sz w:val="52"/>
                <w:szCs w:val="52"/>
              </w:rPr>
              <w:t>8 Branches</w:t>
            </w:r>
          </w:p>
          <w:p w14:paraId="74B665FD" w14:textId="77777777" w:rsidR="00D67C92" w:rsidRDefault="00000000">
            <w:pPr>
              <w:spacing w:after="20"/>
              <w:jc w:val="center"/>
            </w:pPr>
            <w:r>
              <w:rPr>
                <w:b/>
                <w:bCs/>
                <w:sz w:val="18"/>
                <w:szCs w:val="18"/>
              </w:rPr>
              <w:t>Branch Risk Concentration</w:t>
            </w:r>
          </w:p>
          <w:p w14:paraId="1473866F" w14:textId="77777777" w:rsidR="00D67C92" w:rsidRDefault="00000000">
            <w:pPr>
              <w:jc w:val="center"/>
            </w:pPr>
            <w:r>
              <w:rPr>
                <w:i/>
                <w:iCs/>
                <w:color w:val="6B7280"/>
                <w:sz w:val="16"/>
                <w:szCs w:val="16"/>
              </w:rPr>
              <w:t>Mapped &amp; ranked</w:t>
            </w:r>
          </w:p>
        </w:tc>
      </w:tr>
    </w:tbl>
    <w:p w14:paraId="25D975B1" w14:textId="77777777" w:rsidR="00D67C92" w:rsidRDefault="00D67C92">
      <w:pPr>
        <w:spacing w:after="18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600"/>
        <w:gridCol w:w="3240"/>
      </w:tblGrid>
      <w:tr w:rsidR="00D67C92" w14:paraId="613CD65A" w14:textId="77777777">
        <w:trPr>
          <w:tblHeader/>
        </w:trPr>
        <w:tc>
          <w:tcPr>
            <w:tcW w:w="300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2284DD19" w14:textId="77777777" w:rsidR="00D67C92" w:rsidRDefault="00000000">
            <w:pPr>
              <w:jc w:val="center"/>
            </w:pPr>
            <w:r>
              <w:rPr>
                <w:b/>
                <w:bCs/>
                <w:color w:val="FDF3DC"/>
                <w:sz w:val="19"/>
                <w:szCs w:val="19"/>
              </w:rPr>
              <w:t>Metric</w:t>
            </w:r>
          </w:p>
        </w:tc>
        <w:tc>
          <w:tcPr>
            <w:tcW w:w="360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5E22BABB" w14:textId="77777777" w:rsidR="00D67C92" w:rsidRDefault="00000000">
            <w:pPr>
              <w:jc w:val="center"/>
            </w:pPr>
            <w:r>
              <w:rPr>
                <w:b/>
                <w:bCs/>
                <w:color w:val="FDF3DC"/>
                <w:sz w:val="19"/>
                <w:szCs w:val="19"/>
              </w:rPr>
              <w:t>Definition</w:t>
            </w:r>
          </w:p>
        </w:tc>
        <w:tc>
          <w:tcPr>
            <w:tcW w:w="324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7562900A" w14:textId="77777777" w:rsidR="00D67C92" w:rsidRDefault="00000000">
            <w:pPr>
              <w:jc w:val="center"/>
            </w:pPr>
            <w:r>
              <w:rPr>
                <w:b/>
                <w:bCs/>
                <w:color w:val="FDF3DC"/>
                <w:sz w:val="19"/>
                <w:szCs w:val="19"/>
              </w:rPr>
              <w:t>Risk Relevance</w:t>
            </w:r>
          </w:p>
        </w:tc>
      </w:tr>
      <w:tr w:rsidR="00D67C92" w14:paraId="37A0A7A9" w14:textId="77777777">
        <w:tc>
          <w:tcPr>
            <w:tcW w:w="30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75F82B4F" w14:textId="77777777" w:rsidR="00D67C92" w:rsidRDefault="00000000">
            <w:pPr>
              <w:jc w:val="center"/>
            </w:pPr>
            <w:r>
              <w:rPr>
                <w:sz w:val="19"/>
                <w:szCs w:val="19"/>
              </w:rPr>
              <w:t>Total Loan Portfolio Exposure</w:t>
            </w:r>
          </w:p>
        </w:tc>
        <w:tc>
          <w:tcPr>
            <w:tcW w:w="36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4CA27620" w14:textId="77777777" w:rsidR="00D67C92" w:rsidRDefault="00000000">
            <w:pPr>
              <w:jc w:val="center"/>
            </w:pPr>
            <w:r>
              <w:rPr>
                <w:sz w:val="19"/>
                <w:szCs w:val="19"/>
              </w:rPr>
              <w:t>Total value of all loans issued</w:t>
            </w:r>
          </w:p>
        </w:tc>
        <w:tc>
          <w:tcPr>
            <w:tcW w:w="32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0F9A905B" w14:textId="77777777" w:rsidR="00D67C92" w:rsidRDefault="00000000">
            <w:pPr>
              <w:jc w:val="center"/>
            </w:pPr>
            <w:r>
              <w:rPr>
                <w:sz w:val="19"/>
                <w:szCs w:val="19"/>
              </w:rPr>
              <w:t>Measures overall lending scale</w:t>
            </w:r>
          </w:p>
        </w:tc>
      </w:tr>
      <w:tr w:rsidR="00D67C92" w14:paraId="7E8A0214" w14:textId="77777777">
        <w:tc>
          <w:tcPr>
            <w:tcW w:w="30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294CC581" w14:textId="77777777" w:rsidR="00D67C92" w:rsidRDefault="00000000">
            <w:pPr>
              <w:jc w:val="center"/>
            </w:pPr>
            <w:r>
              <w:rPr>
                <w:sz w:val="19"/>
                <w:szCs w:val="19"/>
              </w:rPr>
              <w:t>High Risk Exposure</w:t>
            </w:r>
          </w:p>
        </w:tc>
        <w:tc>
          <w:tcPr>
            <w:tcW w:w="36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0141A7CE" w14:textId="77777777" w:rsidR="00D67C92" w:rsidRDefault="00000000">
            <w:pPr>
              <w:jc w:val="center"/>
            </w:pPr>
            <w:r>
              <w:rPr>
                <w:sz w:val="19"/>
                <w:szCs w:val="19"/>
              </w:rPr>
              <w:t>Loans issued to high-risk borrowers</w:t>
            </w:r>
          </w:p>
        </w:tc>
        <w:tc>
          <w:tcPr>
            <w:tcW w:w="32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4ECF3751" w14:textId="77777777" w:rsidR="00D67C92" w:rsidRDefault="00000000">
            <w:pPr>
              <w:jc w:val="center"/>
            </w:pPr>
            <w:r>
              <w:rPr>
                <w:sz w:val="19"/>
                <w:szCs w:val="19"/>
              </w:rPr>
              <w:t>Credit concentration indicator</w:t>
            </w:r>
          </w:p>
        </w:tc>
      </w:tr>
      <w:tr w:rsidR="00D67C92" w14:paraId="35D2525B" w14:textId="77777777">
        <w:tc>
          <w:tcPr>
            <w:tcW w:w="30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0F7EB4E7" w14:textId="77777777" w:rsidR="00D67C92" w:rsidRDefault="00000000">
            <w:pPr>
              <w:jc w:val="center"/>
            </w:pPr>
            <w:r>
              <w:rPr>
                <w:sz w:val="19"/>
                <w:szCs w:val="19"/>
              </w:rPr>
              <w:t>Portfolio Yield</w:t>
            </w:r>
          </w:p>
        </w:tc>
        <w:tc>
          <w:tcPr>
            <w:tcW w:w="36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0AEEAA4F" w14:textId="77777777" w:rsidR="00D67C92" w:rsidRDefault="00000000">
            <w:pPr>
              <w:jc w:val="center"/>
            </w:pPr>
            <w:r>
              <w:rPr>
                <w:sz w:val="19"/>
                <w:szCs w:val="19"/>
              </w:rPr>
              <w:t>Weighted average interest rate</w:t>
            </w:r>
          </w:p>
        </w:tc>
        <w:tc>
          <w:tcPr>
            <w:tcW w:w="32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01084882" w14:textId="77777777" w:rsidR="00D67C92" w:rsidRDefault="00000000">
            <w:pPr>
              <w:jc w:val="center"/>
            </w:pPr>
            <w:r>
              <w:rPr>
                <w:sz w:val="19"/>
                <w:szCs w:val="19"/>
              </w:rPr>
              <w:t>Revenue &amp; pricing efficiency</w:t>
            </w:r>
          </w:p>
        </w:tc>
      </w:tr>
      <w:tr w:rsidR="00D67C92" w14:paraId="2A140186" w14:textId="77777777">
        <w:tc>
          <w:tcPr>
            <w:tcW w:w="30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60AE5090" w14:textId="77777777" w:rsidR="00D67C92" w:rsidRDefault="00000000">
            <w:pPr>
              <w:jc w:val="center"/>
            </w:pPr>
            <w:r>
              <w:rPr>
                <w:sz w:val="19"/>
                <w:szCs w:val="19"/>
              </w:rPr>
              <w:t>Default Exposure</w:t>
            </w:r>
          </w:p>
        </w:tc>
        <w:tc>
          <w:tcPr>
            <w:tcW w:w="36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1A559203" w14:textId="77777777" w:rsidR="00D67C92" w:rsidRDefault="00000000">
            <w:pPr>
              <w:jc w:val="center"/>
            </w:pPr>
            <w:r>
              <w:rPr>
                <w:sz w:val="19"/>
                <w:szCs w:val="19"/>
              </w:rPr>
              <w:t>Total value of loans in default</w:t>
            </w:r>
          </w:p>
        </w:tc>
        <w:tc>
          <w:tcPr>
            <w:tcW w:w="32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5FCF2D91" w14:textId="77777777" w:rsidR="00D67C92" w:rsidRDefault="00000000">
            <w:pPr>
              <w:jc w:val="center"/>
            </w:pPr>
            <w:r>
              <w:rPr>
                <w:sz w:val="19"/>
                <w:szCs w:val="19"/>
              </w:rPr>
              <w:t>Non-performing loan indicator</w:t>
            </w:r>
          </w:p>
        </w:tc>
      </w:tr>
      <w:tr w:rsidR="00D67C92" w14:paraId="3B69F2FC" w14:textId="77777777">
        <w:tc>
          <w:tcPr>
            <w:tcW w:w="30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5C8B3018" w14:textId="77777777" w:rsidR="00D67C92" w:rsidRDefault="00000000">
            <w:pPr>
              <w:jc w:val="center"/>
            </w:pPr>
            <w:r>
              <w:rPr>
                <w:sz w:val="19"/>
                <w:szCs w:val="19"/>
              </w:rPr>
              <w:t>Collateral Coverage Ratio</w:t>
            </w:r>
          </w:p>
        </w:tc>
        <w:tc>
          <w:tcPr>
            <w:tcW w:w="36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62C0EE52" w14:textId="77777777" w:rsidR="00D67C92" w:rsidRDefault="00000000">
            <w:pPr>
              <w:jc w:val="center"/>
            </w:pPr>
            <w:r>
              <w:rPr>
                <w:sz w:val="19"/>
                <w:szCs w:val="19"/>
              </w:rPr>
              <w:t>Collateral value ÷ loan exposure</w:t>
            </w:r>
          </w:p>
        </w:tc>
        <w:tc>
          <w:tcPr>
            <w:tcW w:w="32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1E83A552" w14:textId="77777777" w:rsidR="00D67C92" w:rsidRDefault="00000000">
            <w:pPr>
              <w:jc w:val="center"/>
            </w:pPr>
            <w:r>
              <w:rPr>
                <w:sz w:val="19"/>
                <w:szCs w:val="19"/>
              </w:rPr>
              <w:t>Recovery risk measure</w:t>
            </w:r>
          </w:p>
        </w:tc>
      </w:tr>
      <w:tr w:rsidR="00D67C92" w14:paraId="2CC23089" w14:textId="77777777">
        <w:tc>
          <w:tcPr>
            <w:tcW w:w="30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6A9B903A" w14:textId="77777777" w:rsidR="00D67C92" w:rsidRDefault="00000000">
            <w:pPr>
              <w:jc w:val="center"/>
            </w:pPr>
            <w:r>
              <w:rPr>
                <w:sz w:val="19"/>
                <w:szCs w:val="19"/>
              </w:rPr>
              <w:t>Branch Risk Concentration</w:t>
            </w:r>
          </w:p>
        </w:tc>
        <w:tc>
          <w:tcPr>
            <w:tcW w:w="36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6CF8E360" w14:textId="77777777" w:rsidR="00D67C92" w:rsidRDefault="00000000">
            <w:pPr>
              <w:jc w:val="center"/>
            </w:pPr>
            <w:r>
              <w:rPr>
                <w:sz w:val="19"/>
                <w:szCs w:val="19"/>
              </w:rPr>
              <w:t>Exposure distribution by branch</w:t>
            </w:r>
          </w:p>
        </w:tc>
        <w:tc>
          <w:tcPr>
            <w:tcW w:w="32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2337BFB4" w14:textId="77777777" w:rsidR="00D67C92" w:rsidRDefault="00000000">
            <w:pPr>
              <w:jc w:val="center"/>
            </w:pPr>
            <w:r>
              <w:rPr>
                <w:sz w:val="19"/>
                <w:szCs w:val="19"/>
              </w:rPr>
              <w:t>Geographic risk indicator</w:t>
            </w:r>
          </w:p>
        </w:tc>
      </w:tr>
      <w:tr w:rsidR="00D67C92" w14:paraId="43D461D2" w14:textId="77777777">
        <w:tc>
          <w:tcPr>
            <w:tcW w:w="30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30CCD0EF" w14:textId="77777777" w:rsidR="00D67C92" w:rsidRDefault="00000000">
            <w:pPr>
              <w:jc w:val="center"/>
            </w:pPr>
            <w:r>
              <w:rPr>
                <w:sz w:val="19"/>
                <w:szCs w:val="19"/>
              </w:rPr>
              <w:t>Loan Portfolio Composition</w:t>
            </w:r>
          </w:p>
        </w:tc>
        <w:tc>
          <w:tcPr>
            <w:tcW w:w="36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3C784082" w14:textId="77777777" w:rsidR="00D67C92" w:rsidRDefault="00000000">
            <w:pPr>
              <w:jc w:val="center"/>
            </w:pPr>
            <w:r>
              <w:rPr>
                <w:sz w:val="19"/>
                <w:szCs w:val="19"/>
              </w:rPr>
              <w:t>Loan product mix across portfolio</w:t>
            </w:r>
          </w:p>
        </w:tc>
        <w:tc>
          <w:tcPr>
            <w:tcW w:w="32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6C4F9357" w14:textId="77777777" w:rsidR="00D67C92" w:rsidRDefault="00000000">
            <w:pPr>
              <w:jc w:val="center"/>
            </w:pPr>
            <w:r>
              <w:rPr>
                <w:sz w:val="19"/>
                <w:szCs w:val="19"/>
              </w:rPr>
              <w:t>Diversification assessment</w:t>
            </w:r>
          </w:p>
        </w:tc>
      </w:tr>
    </w:tbl>
    <w:p w14:paraId="45B9A0D0" w14:textId="77777777" w:rsidR="00D67C92" w:rsidRDefault="00000000">
      <w:r>
        <w:br w:type="page"/>
      </w:r>
    </w:p>
    <w:p w14:paraId="7D5B1823" w14:textId="77777777" w:rsidR="00D67C92" w:rsidRDefault="00000000">
      <w:pPr>
        <w:pStyle w:val="Heading1"/>
      </w:pPr>
      <w:r>
        <w:lastRenderedPageBreak/>
        <w:t>KEY FINDINGS</w:t>
      </w:r>
    </w:p>
    <w:p w14:paraId="2AB9E8FB" w14:textId="77777777" w:rsidR="00D67C92" w:rsidRDefault="00D67C92">
      <w:pPr>
        <w:pBdr>
          <w:bottom w:val="single" w:sz="12" w:space="1" w:color="C17A2F"/>
        </w:pBdr>
        <w:spacing w:before="80"/>
      </w:pPr>
    </w:p>
    <w:p w14:paraId="392BBF2C" w14:textId="77777777" w:rsidR="00D67C92" w:rsidRDefault="00D67C92">
      <w:pPr>
        <w:spacing w:after="1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
        <w:gridCol w:w="9825"/>
      </w:tblGrid>
      <w:tr w:rsidR="00D67C92" w14:paraId="67E85B55"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0" w:type="dxa"/>
              <w:left w:w="0" w:type="dxa"/>
              <w:bottom w:w="0" w:type="dxa"/>
              <w:right w:w="0" w:type="dxa"/>
            </w:tcMar>
          </w:tcPr>
          <w:p w14:paraId="5E51DA97" w14:textId="77777777" w:rsidR="00D67C92" w:rsidRDefault="00D67C92"/>
        </w:tc>
        <w:tc>
          <w:tcPr>
            <w:tcW w:w="0" w:type="auto"/>
            <w:tcBorders>
              <w:top w:val="none" w:sz="0" w:space="0" w:color="FFFFFF"/>
              <w:left w:val="none" w:sz="0" w:space="0" w:color="FFFFFF"/>
              <w:bottom w:val="single" w:sz="4" w:space="0" w:color="EDE0C4"/>
              <w:right w:val="none" w:sz="0" w:space="0" w:color="FFFFFF"/>
            </w:tcBorders>
            <w:shd w:val="clear" w:color="auto" w:fill="F5EDD8"/>
            <w:tcMar>
              <w:top w:w="140" w:type="dxa"/>
              <w:left w:w="280" w:type="dxa"/>
              <w:bottom w:w="140" w:type="dxa"/>
              <w:right w:w="200" w:type="dxa"/>
            </w:tcMar>
          </w:tcPr>
          <w:p w14:paraId="053BCA5F" w14:textId="6A4D9419" w:rsidR="00D67C92" w:rsidRDefault="005773DF">
            <w:pPr>
              <w:spacing w:after="40"/>
            </w:pPr>
            <w:r>
              <w:rPr>
                <w:rFonts w:ascii="Cambria Math" w:hAnsi="Cambria Math" w:cs="Cambria Math"/>
                <w:b/>
                <w:bCs/>
                <w:color w:val="C17A2F"/>
                <w:sz w:val="28"/>
                <w:szCs w:val="28"/>
              </w:rPr>
              <w:t>◆</w:t>
            </w:r>
            <w:r>
              <w:rPr>
                <w:b/>
                <w:bCs/>
                <w:color w:val="C17A2F"/>
                <w:sz w:val="28"/>
                <w:szCs w:val="28"/>
              </w:rPr>
              <w:t xml:space="preserve"> Branch</w:t>
            </w:r>
            <w:r w:rsidR="00000000">
              <w:rPr>
                <w:b/>
                <w:bCs/>
                <w:color w:val="2D1B0E"/>
                <w:sz w:val="28"/>
                <w:szCs w:val="28"/>
              </w:rPr>
              <w:t xml:space="preserve"> Loan Exposure</w:t>
            </w:r>
          </w:p>
          <w:p w14:paraId="61CF471F" w14:textId="77777777" w:rsidR="00D67C92" w:rsidRDefault="00000000">
            <w:r>
              <w:rPr>
                <w:i/>
                <w:iCs/>
                <w:color w:val="6B7280"/>
                <w:sz w:val="19"/>
                <w:szCs w:val="19"/>
              </w:rPr>
              <w:t>Portfolio distribution across branches</w:t>
            </w:r>
          </w:p>
        </w:tc>
      </w:tr>
    </w:tbl>
    <w:p w14:paraId="5804BB5F" w14:textId="77777777" w:rsidR="00D67C92" w:rsidRDefault="00D67C92">
      <w:pPr>
        <w:spacing w:after="1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5040"/>
      </w:tblGrid>
      <w:tr w:rsidR="00D67C92" w14:paraId="295FC38F" w14:textId="77777777">
        <w:trPr>
          <w:tblHeader/>
        </w:trPr>
        <w:tc>
          <w:tcPr>
            <w:tcW w:w="240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48951024" w14:textId="77777777" w:rsidR="00D67C92" w:rsidRDefault="00000000">
            <w:pPr>
              <w:jc w:val="center"/>
            </w:pPr>
            <w:r>
              <w:rPr>
                <w:b/>
                <w:bCs/>
                <w:color w:val="FDF3DC"/>
                <w:sz w:val="19"/>
                <w:szCs w:val="19"/>
              </w:rPr>
              <w:t>Branch</w:t>
            </w:r>
          </w:p>
        </w:tc>
        <w:tc>
          <w:tcPr>
            <w:tcW w:w="240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19990CBF" w14:textId="77777777" w:rsidR="00D67C92" w:rsidRDefault="00000000">
            <w:pPr>
              <w:jc w:val="center"/>
            </w:pPr>
            <w:r>
              <w:rPr>
                <w:b/>
                <w:bCs/>
                <w:color w:val="FDF3DC"/>
                <w:sz w:val="19"/>
                <w:szCs w:val="19"/>
              </w:rPr>
              <w:t>Exposure Level</w:t>
            </w:r>
          </w:p>
        </w:tc>
        <w:tc>
          <w:tcPr>
            <w:tcW w:w="504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1F8AC2CC" w14:textId="77777777" w:rsidR="00D67C92" w:rsidRDefault="00000000">
            <w:pPr>
              <w:jc w:val="center"/>
            </w:pPr>
            <w:r>
              <w:rPr>
                <w:b/>
                <w:bCs/>
                <w:color w:val="FDF3DC"/>
                <w:sz w:val="19"/>
                <w:szCs w:val="19"/>
              </w:rPr>
              <w:t>Relative Position</w:t>
            </w:r>
          </w:p>
        </w:tc>
      </w:tr>
      <w:tr w:rsidR="00D67C92" w14:paraId="1AA1A8B8" w14:textId="77777777">
        <w:tc>
          <w:tcPr>
            <w:tcW w:w="24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59DE084F" w14:textId="77777777" w:rsidR="00D67C92" w:rsidRDefault="00000000">
            <w:pPr>
              <w:jc w:val="center"/>
            </w:pPr>
            <w:r>
              <w:rPr>
                <w:sz w:val="19"/>
                <w:szCs w:val="19"/>
              </w:rPr>
              <w:t>Nyeri</w:t>
            </w:r>
          </w:p>
        </w:tc>
        <w:tc>
          <w:tcPr>
            <w:tcW w:w="24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35F1A3DA" w14:textId="77777777" w:rsidR="00D67C92" w:rsidRDefault="00000000">
            <w:pPr>
              <w:jc w:val="center"/>
            </w:pPr>
            <w:r>
              <w:rPr>
                <w:sz w:val="19"/>
                <w:szCs w:val="19"/>
              </w:rPr>
              <w:t>~KES 1.9B</w:t>
            </w:r>
          </w:p>
        </w:tc>
        <w:tc>
          <w:tcPr>
            <w:tcW w:w="50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1227C448" w14:textId="77777777" w:rsidR="00D67C92" w:rsidRDefault="00000000">
            <w:pPr>
              <w:jc w:val="center"/>
            </w:pPr>
            <w:r>
              <w:rPr>
                <w:sz w:val="19"/>
                <w:szCs w:val="19"/>
              </w:rPr>
              <w:t>Highest exposure — largest loan book 🔴</w:t>
            </w:r>
          </w:p>
        </w:tc>
      </w:tr>
      <w:tr w:rsidR="00D67C92" w14:paraId="0D4A650C" w14:textId="77777777">
        <w:tc>
          <w:tcPr>
            <w:tcW w:w="24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46D254EA" w14:textId="77777777" w:rsidR="00D67C92" w:rsidRDefault="00000000">
            <w:pPr>
              <w:jc w:val="center"/>
            </w:pPr>
            <w:r>
              <w:rPr>
                <w:sz w:val="19"/>
                <w:szCs w:val="19"/>
              </w:rPr>
              <w:t>Kitale</w:t>
            </w:r>
          </w:p>
        </w:tc>
        <w:tc>
          <w:tcPr>
            <w:tcW w:w="24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0E106615" w14:textId="77777777" w:rsidR="00D67C92" w:rsidRDefault="00000000">
            <w:pPr>
              <w:jc w:val="center"/>
            </w:pPr>
            <w:r>
              <w:rPr>
                <w:sz w:val="19"/>
                <w:szCs w:val="19"/>
              </w:rPr>
              <w:t>High</w:t>
            </w:r>
          </w:p>
        </w:tc>
        <w:tc>
          <w:tcPr>
            <w:tcW w:w="50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2628FBA3" w14:textId="77777777" w:rsidR="00D67C92" w:rsidRDefault="00000000">
            <w:pPr>
              <w:jc w:val="center"/>
            </w:pPr>
            <w:r>
              <w:rPr>
                <w:sz w:val="19"/>
                <w:szCs w:val="19"/>
              </w:rPr>
              <w:t>Second highest exposure 🟠</w:t>
            </w:r>
          </w:p>
        </w:tc>
      </w:tr>
      <w:tr w:rsidR="00D67C92" w14:paraId="27C5191C" w14:textId="77777777">
        <w:tc>
          <w:tcPr>
            <w:tcW w:w="24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7A13461D" w14:textId="77777777" w:rsidR="00D67C92" w:rsidRDefault="00000000">
            <w:pPr>
              <w:jc w:val="center"/>
            </w:pPr>
            <w:r>
              <w:rPr>
                <w:sz w:val="19"/>
                <w:szCs w:val="19"/>
              </w:rPr>
              <w:t>Kisumu</w:t>
            </w:r>
          </w:p>
        </w:tc>
        <w:tc>
          <w:tcPr>
            <w:tcW w:w="24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5075AEAF" w14:textId="77777777" w:rsidR="00D67C92" w:rsidRDefault="00000000">
            <w:pPr>
              <w:jc w:val="center"/>
            </w:pPr>
            <w:r>
              <w:rPr>
                <w:sz w:val="19"/>
                <w:szCs w:val="19"/>
              </w:rPr>
              <w:t>High</w:t>
            </w:r>
          </w:p>
        </w:tc>
        <w:tc>
          <w:tcPr>
            <w:tcW w:w="50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4DBB5BFF" w14:textId="77777777" w:rsidR="00D67C92" w:rsidRDefault="00000000">
            <w:pPr>
              <w:jc w:val="center"/>
            </w:pPr>
            <w:r>
              <w:rPr>
                <w:sz w:val="19"/>
                <w:szCs w:val="19"/>
              </w:rPr>
              <w:t>Third highest exposure 🟠</w:t>
            </w:r>
          </w:p>
        </w:tc>
      </w:tr>
      <w:tr w:rsidR="00D67C92" w14:paraId="50C594EF" w14:textId="77777777">
        <w:tc>
          <w:tcPr>
            <w:tcW w:w="24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4F6107FC" w14:textId="77777777" w:rsidR="00D67C92" w:rsidRDefault="00000000">
            <w:pPr>
              <w:jc w:val="center"/>
            </w:pPr>
            <w:r>
              <w:rPr>
                <w:sz w:val="19"/>
                <w:szCs w:val="19"/>
              </w:rPr>
              <w:t>Malindi</w:t>
            </w:r>
          </w:p>
        </w:tc>
        <w:tc>
          <w:tcPr>
            <w:tcW w:w="24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587C2CF5" w14:textId="77777777" w:rsidR="00D67C92" w:rsidRDefault="00000000">
            <w:pPr>
              <w:jc w:val="center"/>
            </w:pPr>
            <w:r>
              <w:rPr>
                <w:sz w:val="19"/>
                <w:szCs w:val="19"/>
              </w:rPr>
              <w:t>Low</w:t>
            </w:r>
          </w:p>
        </w:tc>
        <w:tc>
          <w:tcPr>
            <w:tcW w:w="50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2ED587C0" w14:textId="77777777" w:rsidR="00D67C92" w:rsidRDefault="00000000">
            <w:pPr>
              <w:jc w:val="center"/>
            </w:pPr>
            <w:r>
              <w:rPr>
                <w:sz w:val="19"/>
                <w:szCs w:val="19"/>
              </w:rPr>
              <w:t>Among smallest loan books 🟢</w:t>
            </w:r>
          </w:p>
        </w:tc>
      </w:tr>
      <w:tr w:rsidR="00D67C92" w14:paraId="64243369" w14:textId="77777777">
        <w:tc>
          <w:tcPr>
            <w:tcW w:w="24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46EF79E7" w14:textId="77777777" w:rsidR="00D67C92" w:rsidRDefault="00000000">
            <w:pPr>
              <w:jc w:val="center"/>
            </w:pPr>
            <w:r>
              <w:rPr>
                <w:sz w:val="19"/>
                <w:szCs w:val="19"/>
              </w:rPr>
              <w:t>Naivasha</w:t>
            </w:r>
          </w:p>
        </w:tc>
        <w:tc>
          <w:tcPr>
            <w:tcW w:w="24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6C246E07" w14:textId="77777777" w:rsidR="00D67C92" w:rsidRDefault="00000000">
            <w:pPr>
              <w:jc w:val="center"/>
            </w:pPr>
            <w:r>
              <w:rPr>
                <w:sz w:val="19"/>
                <w:szCs w:val="19"/>
              </w:rPr>
              <w:t>Low</w:t>
            </w:r>
          </w:p>
        </w:tc>
        <w:tc>
          <w:tcPr>
            <w:tcW w:w="50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4C9DFDF3" w14:textId="77777777" w:rsidR="00D67C92" w:rsidRDefault="00000000">
            <w:pPr>
              <w:jc w:val="center"/>
            </w:pPr>
            <w:r>
              <w:rPr>
                <w:sz w:val="19"/>
                <w:szCs w:val="19"/>
              </w:rPr>
              <w:t>Lowest lending activity 🟢</w:t>
            </w:r>
          </w:p>
        </w:tc>
      </w:tr>
    </w:tbl>
    <w:p w14:paraId="5BD51EB5" w14:textId="77777777" w:rsidR="00D67C92" w:rsidRDefault="00D67C92">
      <w:pPr>
        <w:spacing w:after="12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D67C92" w14:paraId="1F8AE130" w14:textId="77777777">
        <w:tc>
          <w:tcPr>
            <w:tcW w:w="0" w:type="auto"/>
            <w:tcBorders>
              <w:top w:val="single" w:sz="4" w:space="0" w:color="4E2A04"/>
              <w:left w:val="single" w:sz="24" w:space="0" w:color="4E2A04"/>
              <w:bottom w:val="single" w:sz="4" w:space="0" w:color="4E2A04"/>
              <w:right w:val="single" w:sz="4" w:space="0" w:color="4E2A04"/>
            </w:tcBorders>
            <w:shd w:val="clear" w:color="auto" w:fill="F5EDD8"/>
            <w:tcMar>
              <w:top w:w="160" w:type="dxa"/>
              <w:left w:w="280" w:type="dxa"/>
              <w:bottom w:w="160" w:type="dxa"/>
              <w:right w:w="280" w:type="dxa"/>
            </w:tcMar>
          </w:tcPr>
          <w:p w14:paraId="1A07DE3F" w14:textId="0DE20592" w:rsidR="00D67C92" w:rsidRDefault="005773DF">
            <w:pPr>
              <w:spacing w:after="80"/>
            </w:pPr>
            <w:r>
              <w:rPr>
                <w:rFonts w:ascii="Segoe UI Emoji" w:hAnsi="Segoe UI Emoji" w:cs="Segoe UI Emoji"/>
                <w:b/>
                <w:bCs/>
                <w:color w:val="4E2A04"/>
              </w:rPr>
              <w:t>📊</w:t>
            </w:r>
            <w:r>
              <w:rPr>
                <w:b/>
                <w:bCs/>
                <w:color w:val="4E2A04"/>
              </w:rPr>
              <w:t xml:space="preserve"> Finding</w:t>
            </w:r>
            <w:r w:rsidR="00000000">
              <w:rPr>
                <w:b/>
                <w:bCs/>
                <w:color w:val="4E2A04"/>
              </w:rPr>
              <w:t>: Branch Exposure Analysis</w:t>
            </w:r>
          </w:p>
          <w:p w14:paraId="3AE5DE38" w14:textId="77777777" w:rsidR="00D67C92" w:rsidRDefault="00000000">
            <w:r>
              <w:rPr>
                <w:sz w:val="20"/>
                <w:szCs w:val="20"/>
              </w:rPr>
              <w:t>Nyeri branch holds the largest loan portfolio exposure at approximately KES 1.9B, followed by Kitale and Kisumu. Malindi and Naivasha maintain smaller loan books, reflecting lower regional lending activity. High branch concentration increases sensitivity to local economic shocks.</w:t>
            </w:r>
          </w:p>
        </w:tc>
      </w:tr>
    </w:tbl>
    <w:p w14:paraId="2DEDB5EC" w14:textId="77777777" w:rsidR="00D67C92" w:rsidRDefault="00D67C92">
      <w:pPr>
        <w:spacing w:after="2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
        <w:gridCol w:w="9827"/>
      </w:tblGrid>
      <w:tr w:rsidR="00D67C92" w14:paraId="477B4442"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0" w:type="dxa"/>
              <w:left w:w="0" w:type="dxa"/>
              <w:bottom w:w="0" w:type="dxa"/>
              <w:right w:w="0" w:type="dxa"/>
            </w:tcMar>
          </w:tcPr>
          <w:p w14:paraId="1368DD27" w14:textId="77777777" w:rsidR="00D67C92" w:rsidRDefault="00D67C92"/>
        </w:tc>
        <w:tc>
          <w:tcPr>
            <w:tcW w:w="0" w:type="auto"/>
            <w:tcBorders>
              <w:top w:val="none" w:sz="0" w:space="0" w:color="FFFFFF"/>
              <w:left w:val="none" w:sz="0" w:space="0" w:color="FFFFFF"/>
              <w:bottom w:val="single" w:sz="4" w:space="0" w:color="EDE0C4"/>
              <w:right w:val="none" w:sz="0" w:space="0" w:color="FFFFFF"/>
            </w:tcBorders>
            <w:shd w:val="clear" w:color="auto" w:fill="F5EDD8"/>
            <w:tcMar>
              <w:top w:w="140" w:type="dxa"/>
              <w:left w:w="280" w:type="dxa"/>
              <w:bottom w:w="140" w:type="dxa"/>
              <w:right w:w="200" w:type="dxa"/>
            </w:tcMar>
          </w:tcPr>
          <w:p w14:paraId="38F8E069" w14:textId="184768BC" w:rsidR="00D67C92" w:rsidRDefault="005773DF">
            <w:pPr>
              <w:spacing w:after="40"/>
            </w:pPr>
            <w:r>
              <w:rPr>
                <w:rFonts w:ascii="Cambria Math" w:hAnsi="Cambria Math" w:cs="Cambria Math"/>
                <w:b/>
                <w:bCs/>
                <w:color w:val="C17A2F"/>
                <w:sz w:val="28"/>
                <w:szCs w:val="28"/>
              </w:rPr>
              <w:t>◆</w:t>
            </w:r>
            <w:r>
              <w:rPr>
                <w:b/>
                <w:bCs/>
                <w:color w:val="C17A2F"/>
                <w:sz w:val="28"/>
                <w:szCs w:val="28"/>
              </w:rPr>
              <w:t xml:space="preserve"> Default</w:t>
            </w:r>
            <w:r w:rsidR="00000000">
              <w:rPr>
                <w:b/>
                <w:bCs/>
                <w:color w:val="2D1B0E"/>
                <w:sz w:val="28"/>
                <w:szCs w:val="28"/>
              </w:rPr>
              <w:t xml:space="preserve"> Exposure by Branch</w:t>
            </w:r>
          </w:p>
          <w:p w14:paraId="3EC5DB4F" w14:textId="77777777" w:rsidR="00D67C92" w:rsidRDefault="00000000">
            <w:r>
              <w:rPr>
                <w:i/>
                <w:iCs/>
                <w:color w:val="6B7280"/>
                <w:sz w:val="19"/>
                <w:szCs w:val="19"/>
              </w:rPr>
              <w:t>Identifying credit risk concentration</w:t>
            </w:r>
          </w:p>
        </w:tc>
      </w:tr>
    </w:tbl>
    <w:p w14:paraId="5EF67AA8" w14:textId="77777777" w:rsidR="00D67C92" w:rsidRDefault="00D67C92">
      <w:pPr>
        <w:spacing w:after="1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800"/>
        <w:gridCol w:w="4240"/>
      </w:tblGrid>
      <w:tr w:rsidR="00D67C92" w14:paraId="181596DF" w14:textId="77777777">
        <w:trPr>
          <w:tblHeader/>
        </w:trPr>
        <w:tc>
          <w:tcPr>
            <w:tcW w:w="280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30CC6157" w14:textId="77777777" w:rsidR="00D67C92" w:rsidRDefault="00000000">
            <w:pPr>
              <w:jc w:val="center"/>
            </w:pPr>
            <w:r>
              <w:rPr>
                <w:b/>
                <w:bCs/>
                <w:color w:val="FDF3DC"/>
                <w:sz w:val="19"/>
                <w:szCs w:val="19"/>
              </w:rPr>
              <w:t>Branch</w:t>
            </w:r>
          </w:p>
        </w:tc>
        <w:tc>
          <w:tcPr>
            <w:tcW w:w="280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2BBF0612" w14:textId="77777777" w:rsidR="00D67C92" w:rsidRDefault="00000000">
            <w:pPr>
              <w:jc w:val="center"/>
            </w:pPr>
            <w:r>
              <w:rPr>
                <w:b/>
                <w:bCs/>
                <w:color w:val="FDF3DC"/>
                <w:sz w:val="19"/>
                <w:szCs w:val="19"/>
              </w:rPr>
              <w:t>Default Risk Level</w:t>
            </w:r>
          </w:p>
        </w:tc>
        <w:tc>
          <w:tcPr>
            <w:tcW w:w="424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5A58B49B" w14:textId="77777777" w:rsidR="00D67C92" w:rsidRDefault="00000000">
            <w:pPr>
              <w:jc w:val="center"/>
            </w:pPr>
            <w:r>
              <w:rPr>
                <w:b/>
                <w:bCs/>
                <w:color w:val="FDF3DC"/>
                <w:sz w:val="19"/>
                <w:szCs w:val="19"/>
              </w:rPr>
              <w:t>Action Required</w:t>
            </w:r>
          </w:p>
        </w:tc>
      </w:tr>
      <w:tr w:rsidR="00D67C92" w14:paraId="328B9D03" w14:textId="77777777">
        <w:tc>
          <w:tcPr>
            <w:tcW w:w="28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0F49A675" w14:textId="77777777" w:rsidR="00D67C92" w:rsidRDefault="00000000">
            <w:pPr>
              <w:jc w:val="center"/>
            </w:pPr>
            <w:r>
              <w:rPr>
                <w:sz w:val="19"/>
                <w:szCs w:val="19"/>
              </w:rPr>
              <w:t>Karen</w:t>
            </w:r>
          </w:p>
        </w:tc>
        <w:tc>
          <w:tcPr>
            <w:tcW w:w="28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178387E2" w14:textId="77777777" w:rsidR="00D67C92" w:rsidRDefault="00000000">
            <w:pPr>
              <w:jc w:val="center"/>
            </w:pPr>
            <w:r>
              <w:rPr>
                <w:sz w:val="19"/>
                <w:szCs w:val="19"/>
              </w:rPr>
              <w:t>Highest</w:t>
            </w:r>
          </w:p>
        </w:tc>
        <w:tc>
          <w:tcPr>
            <w:tcW w:w="42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2C00B77A" w14:textId="77777777" w:rsidR="00D67C92" w:rsidRDefault="00000000">
            <w:pPr>
              <w:jc w:val="center"/>
            </w:pPr>
            <w:r>
              <w:rPr>
                <w:sz w:val="19"/>
                <w:szCs w:val="19"/>
              </w:rPr>
              <w:t>Enhanced credit monitoring — Priority 🔴</w:t>
            </w:r>
          </w:p>
        </w:tc>
      </w:tr>
      <w:tr w:rsidR="00D67C92" w14:paraId="14E96D6F" w14:textId="77777777">
        <w:tc>
          <w:tcPr>
            <w:tcW w:w="28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31133FD4" w14:textId="77777777" w:rsidR="00D67C92" w:rsidRDefault="00000000">
            <w:pPr>
              <w:jc w:val="center"/>
            </w:pPr>
            <w:r>
              <w:rPr>
                <w:sz w:val="19"/>
                <w:szCs w:val="19"/>
              </w:rPr>
              <w:t>Kisumu</w:t>
            </w:r>
          </w:p>
        </w:tc>
        <w:tc>
          <w:tcPr>
            <w:tcW w:w="28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4A846349" w14:textId="77777777" w:rsidR="00D67C92" w:rsidRDefault="00000000">
            <w:pPr>
              <w:jc w:val="center"/>
            </w:pPr>
            <w:r>
              <w:rPr>
                <w:sz w:val="19"/>
                <w:szCs w:val="19"/>
              </w:rPr>
              <w:t>Highest</w:t>
            </w:r>
          </w:p>
        </w:tc>
        <w:tc>
          <w:tcPr>
            <w:tcW w:w="42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53E1B4FF" w14:textId="77777777" w:rsidR="00D67C92" w:rsidRDefault="00000000">
            <w:pPr>
              <w:jc w:val="center"/>
            </w:pPr>
            <w:r>
              <w:rPr>
                <w:sz w:val="19"/>
                <w:szCs w:val="19"/>
              </w:rPr>
              <w:t>Enhanced credit monitoring — Priority 🔴</w:t>
            </w:r>
          </w:p>
        </w:tc>
      </w:tr>
      <w:tr w:rsidR="00D67C92" w14:paraId="6DFA679C" w14:textId="77777777">
        <w:tc>
          <w:tcPr>
            <w:tcW w:w="28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5A180A26" w14:textId="77777777" w:rsidR="00D67C92" w:rsidRDefault="00000000">
            <w:pPr>
              <w:jc w:val="center"/>
            </w:pPr>
            <w:r>
              <w:rPr>
                <w:sz w:val="19"/>
                <w:szCs w:val="19"/>
              </w:rPr>
              <w:t>Mombasa</w:t>
            </w:r>
          </w:p>
        </w:tc>
        <w:tc>
          <w:tcPr>
            <w:tcW w:w="28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674A30F0" w14:textId="77777777" w:rsidR="00D67C92" w:rsidRDefault="00000000">
            <w:pPr>
              <w:jc w:val="center"/>
            </w:pPr>
            <w:r>
              <w:rPr>
                <w:sz w:val="19"/>
                <w:szCs w:val="19"/>
              </w:rPr>
              <w:t>Moderate</w:t>
            </w:r>
          </w:p>
        </w:tc>
        <w:tc>
          <w:tcPr>
            <w:tcW w:w="42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24445EED" w14:textId="77777777" w:rsidR="00D67C92" w:rsidRDefault="00000000">
            <w:pPr>
              <w:jc w:val="center"/>
            </w:pPr>
            <w:r>
              <w:rPr>
                <w:sz w:val="19"/>
                <w:szCs w:val="19"/>
              </w:rPr>
              <w:t>Standard watchlist procedures 🟡</w:t>
            </w:r>
          </w:p>
        </w:tc>
      </w:tr>
      <w:tr w:rsidR="00D67C92" w14:paraId="6171944E" w14:textId="77777777">
        <w:tc>
          <w:tcPr>
            <w:tcW w:w="28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3A65D0BF" w14:textId="77777777" w:rsidR="00D67C92" w:rsidRDefault="00000000">
            <w:pPr>
              <w:jc w:val="center"/>
            </w:pPr>
            <w:r>
              <w:rPr>
                <w:sz w:val="19"/>
                <w:szCs w:val="19"/>
              </w:rPr>
              <w:t>Upper Hill</w:t>
            </w:r>
          </w:p>
        </w:tc>
        <w:tc>
          <w:tcPr>
            <w:tcW w:w="28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6F05F9A3" w14:textId="77777777" w:rsidR="00D67C92" w:rsidRDefault="00000000">
            <w:pPr>
              <w:jc w:val="center"/>
            </w:pPr>
            <w:r>
              <w:rPr>
                <w:sz w:val="19"/>
                <w:szCs w:val="19"/>
              </w:rPr>
              <w:t>Lower</w:t>
            </w:r>
          </w:p>
        </w:tc>
        <w:tc>
          <w:tcPr>
            <w:tcW w:w="42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5346E2A4" w14:textId="77777777" w:rsidR="00D67C92" w:rsidRDefault="00000000">
            <w:pPr>
              <w:jc w:val="center"/>
            </w:pPr>
            <w:r>
              <w:rPr>
                <w:sz w:val="19"/>
                <w:szCs w:val="19"/>
              </w:rPr>
              <w:t>Maintain standard monitoring 🟢</w:t>
            </w:r>
          </w:p>
        </w:tc>
      </w:tr>
    </w:tbl>
    <w:p w14:paraId="5D534F4C" w14:textId="77777777" w:rsidR="00D67C92" w:rsidRDefault="00D67C92">
      <w:pPr>
        <w:spacing w:after="12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D67C92" w14:paraId="7A709D84" w14:textId="77777777">
        <w:tc>
          <w:tcPr>
            <w:tcW w:w="0" w:type="auto"/>
            <w:tcBorders>
              <w:top w:val="single" w:sz="4" w:space="0" w:color="8B2500"/>
              <w:left w:val="single" w:sz="24" w:space="0" w:color="8B2500"/>
              <w:bottom w:val="single" w:sz="4" w:space="0" w:color="8B2500"/>
              <w:right w:val="single" w:sz="4" w:space="0" w:color="8B2500"/>
            </w:tcBorders>
            <w:shd w:val="clear" w:color="auto" w:fill="FDECEA"/>
            <w:tcMar>
              <w:top w:w="160" w:type="dxa"/>
              <w:left w:w="280" w:type="dxa"/>
              <w:bottom w:w="160" w:type="dxa"/>
              <w:right w:w="280" w:type="dxa"/>
            </w:tcMar>
          </w:tcPr>
          <w:p w14:paraId="60160414" w14:textId="44EDA062" w:rsidR="00D67C92" w:rsidRDefault="00000000">
            <w:pPr>
              <w:spacing w:after="80"/>
            </w:pPr>
            <w:r>
              <w:rPr>
                <w:b/>
                <w:bCs/>
                <w:color w:val="8B2500"/>
              </w:rPr>
              <w:t>⚠</w:t>
            </w:r>
            <w:r w:rsidR="005773DF">
              <w:rPr>
                <w:b/>
                <w:bCs/>
                <w:color w:val="8B2500"/>
              </w:rPr>
              <w:t>️ Finding</w:t>
            </w:r>
            <w:r>
              <w:rPr>
                <w:b/>
                <w:bCs/>
                <w:color w:val="8B2500"/>
              </w:rPr>
              <w:t>: Default Concentration Risk</w:t>
            </w:r>
          </w:p>
          <w:p w14:paraId="47A75B91" w14:textId="77777777" w:rsidR="00D67C92" w:rsidRDefault="00000000">
            <w:r>
              <w:rPr>
                <w:sz w:val="20"/>
                <w:szCs w:val="20"/>
              </w:rPr>
              <w:t>Karen and Kisumu branches show the highest default exposure, indicating elevated credit risk concentration in those regions. These branches require targeted credit review, stronger underwriting controls, and proactive borrower engagement to mitigate further deterioration.</w:t>
            </w:r>
          </w:p>
        </w:tc>
      </w:tr>
    </w:tbl>
    <w:p w14:paraId="4D57DAF8" w14:textId="77777777" w:rsidR="00D67C92" w:rsidRDefault="00D67C92">
      <w:pPr>
        <w:spacing w:after="2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
        <w:gridCol w:w="9824"/>
      </w:tblGrid>
      <w:tr w:rsidR="00D67C92" w14:paraId="7E13FE18"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0" w:type="dxa"/>
              <w:left w:w="0" w:type="dxa"/>
              <w:bottom w:w="0" w:type="dxa"/>
              <w:right w:w="0" w:type="dxa"/>
            </w:tcMar>
          </w:tcPr>
          <w:p w14:paraId="3E784C69" w14:textId="77777777" w:rsidR="00D67C92" w:rsidRDefault="00D67C92"/>
        </w:tc>
        <w:tc>
          <w:tcPr>
            <w:tcW w:w="0" w:type="auto"/>
            <w:tcBorders>
              <w:top w:val="none" w:sz="0" w:space="0" w:color="FFFFFF"/>
              <w:left w:val="none" w:sz="0" w:space="0" w:color="FFFFFF"/>
              <w:bottom w:val="single" w:sz="4" w:space="0" w:color="EDE0C4"/>
              <w:right w:val="none" w:sz="0" w:space="0" w:color="FFFFFF"/>
            </w:tcBorders>
            <w:shd w:val="clear" w:color="auto" w:fill="F5EDD8"/>
            <w:tcMar>
              <w:top w:w="140" w:type="dxa"/>
              <w:left w:w="280" w:type="dxa"/>
              <w:bottom w:w="140" w:type="dxa"/>
              <w:right w:w="200" w:type="dxa"/>
            </w:tcMar>
          </w:tcPr>
          <w:p w14:paraId="28183CB3" w14:textId="735EBDEE" w:rsidR="00D67C92" w:rsidRDefault="005773DF">
            <w:pPr>
              <w:spacing w:after="40"/>
            </w:pPr>
            <w:r>
              <w:rPr>
                <w:rFonts w:ascii="Cambria Math" w:hAnsi="Cambria Math" w:cs="Cambria Math"/>
                <w:b/>
                <w:bCs/>
                <w:color w:val="C17A2F"/>
                <w:sz w:val="28"/>
                <w:szCs w:val="28"/>
              </w:rPr>
              <w:t>◆</w:t>
            </w:r>
            <w:r>
              <w:rPr>
                <w:b/>
                <w:bCs/>
                <w:color w:val="C17A2F"/>
                <w:sz w:val="28"/>
                <w:szCs w:val="28"/>
              </w:rPr>
              <w:t xml:space="preserve"> Portfolio</w:t>
            </w:r>
            <w:r w:rsidR="00000000">
              <w:rPr>
                <w:b/>
                <w:bCs/>
                <w:color w:val="2D1B0E"/>
                <w:sz w:val="28"/>
                <w:szCs w:val="28"/>
              </w:rPr>
              <w:t xml:space="preserve"> Composition</w:t>
            </w:r>
          </w:p>
          <w:p w14:paraId="44DD6FBA" w14:textId="77777777" w:rsidR="00D67C92" w:rsidRDefault="00000000">
            <w:r>
              <w:rPr>
                <w:i/>
                <w:iCs/>
                <w:color w:val="6B7280"/>
                <w:sz w:val="19"/>
                <w:szCs w:val="19"/>
              </w:rPr>
              <w:t>Loan product distribution analysis</w:t>
            </w:r>
          </w:p>
        </w:tc>
      </w:tr>
    </w:tbl>
    <w:p w14:paraId="6007E284" w14:textId="77777777" w:rsidR="00D67C92" w:rsidRDefault="00D67C92">
      <w:pPr>
        <w:spacing w:after="1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200"/>
        <w:gridCol w:w="5240"/>
      </w:tblGrid>
      <w:tr w:rsidR="00D67C92" w14:paraId="6666F348" w14:textId="77777777">
        <w:trPr>
          <w:tblHeader/>
        </w:trPr>
        <w:tc>
          <w:tcPr>
            <w:tcW w:w="240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2989CF46" w14:textId="77777777" w:rsidR="00D67C92" w:rsidRDefault="00000000">
            <w:pPr>
              <w:jc w:val="center"/>
            </w:pPr>
            <w:r>
              <w:rPr>
                <w:b/>
                <w:bCs/>
                <w:color w:val="FDF3DC"/>
                <w:sz w:val="19"/>
                <w:szCs w:val="19"/>
              </w:rPr>
              <w:t>Loan Type</w:t>
            </w:r>
          </w:p>
        </w:tc>
        <w:tc>
          <w:tcPr>
            <w:tcW w:w="220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26E18ACC" w14:textId="77777777" w:rsidR="00D67C92" w:rsidRDefault="00000000">
            <w:pPr>
              <w:jc w:val="center"/>
            </w:pPr>
            <w:r>
              <w:rPr>
                <w:b/>
                <w:bCs/>
                <w:color w:val="FDF3DC"/>
                <w:sz w:val="19"/>
                <w:szCs w:val="19"/>
              </w:rPr>
              <w:t>Portfolio Share</w:t>
            </w:r>
          </w:p>
        </w:tc>
        <w:tc>
          <w:tcPr>
            <w:tcW w:w="5240" w:type="dxa"/>
            <w:tcBorders>
              <w:top w:val="single" w:sz="4" w:space="0" w:color="8B4513"/>
              <w:left w:val="single" w:sz="2" w:space="0" w:color="8B4513"/>
              <w:bottom w:val="single" w:sz="4" w:space="0" w:color="8B4513"/>
              <w:right w:val="single" w:sz="2" w:space="0" w:color="8B4513"/>
            </w:tcBorders>
            <w:shd w:val="clear" w:color="auto" w:fill="4E2A04"/>
            <w:tcMar>
              <w:top w:w="100" w:type="dxa"/>
              <w:left w:w="160" w:type="dxa"/>
              <w:bottom w:w="100" w:type="dxa"/>
              <w:right w:w="160" w:type="dxa"/>
            </w:tcMar>
            <w:vAlign w:val="center"/>
          </w:tcPr>
          <w:p w14:paraId="359669D5" w14:textId="77777777" w:rsidR="00D67C92" w:rsidRDefault="00000000">
            <w:pPr>
              <w:jc w:val="center"/>
            </w:pPr>
            <w:r>
              <w:rPr>
                <w:b/>
                <w:bCs/>
                <w:color w:val="FDF3DC"/>
                <w:sz w:val="19"/>
                <w:szCs w:val="19"/>
              </w:rPr>
              <w:t>Risk Implication</w:t>
            </w:r>
          </w:p>
        </w:tc>
      </w:tr>
      <w:tr w:rsidR="00D67C92" w14:paraId="679BDA10" w14:textId="77777777">
        <w:tc>
          <w:tcPr>
            <w:tcW w:w="24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1690085F" w14:textId="77777777" w:rsidR="00D67C92" w:rsidRDefault="00000000">
            <w:pPr>
              <w:jc w:val="center"/>
            </w:pPr>
            <w:r>
              <w:rPr>
                <w:sz w:val="19"/>
                <w:szCs w:val="19"/>
              </w:rPr>
              <w:t>Mortgage</w:t>
            </w:r>
          </w:p>
        </w:tc>
        <w:tc>
          <w:tcPr>
            <w:tcW w:w="22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2E9DD79D" w14:textId="77777777" w:rsidR="00D67C92" w:rsidRDefault="00000000">
            <w:pPr>
              <w:jc w:val="center"/>
            </w:pPr>
            <w:r>
              <w:rPr>
                <w:sz w:val="19"/>
                <w:szCs w:val="19"/>
              </w:rPr>
              <w:t>~73%</w:t>
            </w:r>
          </w:p>
        </w:tc>
        <w:tc>
          <w:tcPr>
            <w:tcW w:w="52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7865773A" w14:textId="77777777" w:rsidR="00D67C92" w:rsidRDefault="00000000">
            <w:pPr>
              <w:jc w:val="center"/>
            </w:pPr>
            <w:r>
              <w:rPr>
                <w:sz w:val="19"/>
                <w:szCs w:val="19"/>
              </w:rPr>
              <w:t>Dominant product — concentration risk, interest rate sensitivity</w:t>
            </w:r>
          </w:p>
        </w:tc>
      </w:tr>
      <w:tr w:rsidR="00D67C92" w14:paraId="63C3EF2E" w14:textId="77777777">
        <w:tc>
          <w:tcPr>
            <w:tcW w:w="24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61098A87" w14:textId="77777777" w:rsidR="00D67C92" w:rsidRDefault="00000000">
            <w:pPr>
              <w:jc w:val="center"/>
            </w:pPr>
            <w:r>
              <w:rPr>
                <w:sz w:val="19"/>
                <w:szCs w:val="19"/>
              </w:rPr>
              <w:t>SME Loans</w:t>
            </w:r>
          </w:p>
        </w:tc>
        <w:tc>
          <w:tcPr>
            <w:tcW w:w="22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46143A67" w14:textId="77777777" w:rsidR="00D67C92" w:rsidRDefault="00000000">
            <w:pPr>
              <w:jc w:val="center"/>
            </w:pPr>
            <w:r>
              <w:rPr>
                <w:sz w:val="19"/>
                <w:szCs w:val="19"/>
              </w:rPr>
              <w:t>~20%</w:t>
            </w:r>
          </w:p>
        </w:tc>
        <w:tc>
          <w:tcPr>
            <w:tcW w:w="52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111167B3" w14:textId="77777777" w:rsidR="00D67C92" w:rsidRDefault="00000000">
            <w:pPr>
              <w:jc w:val="center"/>
            </w:pPr>
            <w:r>
              <w:rPr>
                <w:sz w:val="19"/>
                <w:szCs w:val="19"/>
              </w:rPr>
              <w:t>Secondary segment — higher credit risk, shorter tenure</w:t>
            </w:r>
          </w:p>
        </w:tc>
      </w:tr>
      <w:tr w:rsidR="00D67C92" w14:paraId="24A30B52" w14:textId="77777777">
        <w:tc>
          <w:tcPr>
            <w:tcW w:w="24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6EBB978B" w14:textId="77777777" w:rsidR="00D67C92" w:rsidRDefault="00000000">
            <w:pPr>
              <w:jc w:val="center"/>
            </w:pPr>
            <w:r>
              <w:rPr>
                <w:sz w:val="19"/>
                <w:szCs w:val="19"/>
              </w:rPr>
              <w:t>Asset Finance</w:t>
            </w:r>
          </w:p>
        </w:tc>
        <w:tc>
          <w:tcPr>
            <w:tcW w:w="220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2DB1958D" w14:textId="77777777" w:rsidR="00D67C92" w:rsidRDefault="00000000">
            <w:pPr>
              <w:jc w:val="center"/>
            </w:pPr>
            <w:r>
              <w:rPr>
                <w:sz w:val="19"/>
                <w:szCs w:val="19"/>
              </w:rPr>
              <w:t>&lt; 5%</w:t>
            </w:r>
          </w:p>
        </w:tc>
        <w:tc>
          <w:tcPr>
            <w:tcW w:w="5240" w:type="dxa"/>
            <w:tcBorders>
              <w:top w:val="single" w:sz="2" w:space="0" w:color="EDE0C4"/>
              <w:left w:val="single" w:sz="2" w:space="0" w:color="EDE0C4"/>
              <w:bottom w:val="single" w:sz="2" w:space="0" w:color="EDE0C4"/>
              <w:right w:val="single" w:sz="2" w:space="0" w:color="EDE0C4"/>
            </w:tcBorders>
            <w:shd w:val="clear" w:color="auto" w:fill="FFFDF7"/>
            <w:tcMar>
              <w:top w:w="80" w:type="dxa"/>
              <w:left w:w="160" w:type="dxa"/>
              <w:bottom w:w="80" w:type="dxa"/>
              <w:right w:w="160" w:type="dxa"/>
            </w:tcMar>
            <w:vAlign w:val="center"/>
          </w:tcPr>
          <w:p w14:paraId="10C304FD" w14:textId="77777777" w:rsidR="00D67C92" w:rsidRDefault="00000000">
            <w:pPr>
              <w:jc w:val="center"/>
            </w:pPr>
            <w:r>
              <w:rPr>
                <w:sz w:val="19"/>
                <w:szCs w:val="19"/>
              </w:rPr>
              <w:t>Small segment — asset-backed, moderate risk</w:t>
            </w:r>
          </w:p>
        </w:tc>
      </w:tr>
      <w:tr w:rsidR="00D67C92" w14:paraId="327030A3" w14:textId="77777777">
        <w:tc>
          <w:tcPr>
            <w:tcW w:w="24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1DF5FF1D" w14:textId="77777777" w:rsidR="00D67C92" w:rsidRDefault="00000000">
            <w:pPr>
              <w:jc w:val="center"/>
            </w:pPr>
            <w:r>
              <w:rPr>
                <w:sz w:val="19"/>
                <w:szCs w:val="19"/>
              </w:rPr>
              <w:t>Personal Loans</w:t>
            </w:r>
          </w:p>
        </w:tc>
        <w:tc>
          <w:tcPr>
            <w:tcW w:w="220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0148C977" w14:textId="77777777" w:rsidR="00D67C92" w:rsidRDefault="00000000">
            <w:pPr>
              <w:jc w:val="center"/>
            </w:pPr>
            <w:r>
              <w:rPr>
                <w:sz w:val="19"/>
                <w:szCs w:val="19"/>
              </w:rPr>
              <w:t>&lt; 5%</w:t>
            </w:r>
          </w:p>
        </w:tc>
        <w:tc>
          <w:tcPr>
            <w:tcW w:w="5240" w:type="dxa"/>
            <w:tcBorders>
              <w:top w:val="single" w:sz="2" w:space="0" w:color="EDE0C4"/>
              <w:left w:val="single" w:sz="2" w:space="0" w:color="EDE0C4"/>
              <w:bottom w:val="single" w:sz="2" w:space="0" w:color="EDE0C4"/>
              <w:right w:val="single" w:sz="2" w:space="0" w:color="EDE0C4"/>
            </w:tcBorders>
            <w:shd w:val="clear" w:color="auto" w:fill="F5EDD8"/>
            <w:tcMar>
              <w:top w:w="80" w:type="dxa"/>
              <w:left w:w="160" w:type="dxa"/>
              <w:bottom w:w="80" w:type="dxa"/>
              <w:right w:w="160" w:type="dxa"/>
            </w:tcMar>
            <w:vAlign w:val="center"/>
          </w:tcPr>
          <w:p w14:paraId="60658A1C" w14:textId="77777777" w:rsidR="00D67C92" w:rsidRDefault="00000000">
            <w:pPr>
              <w:jc w:val="center"/>
            </w:pPr>
            <w:r>
              <w:rPr>
                <w:sz w:val="19"/>
                <w:szCs w:val="19"/>
              </w:rPr>
              <w:t>Smallest share — unsecured, higher per-loan risk</w:t>
            </w:r>
          </w:p>
        </w:tc>
      </w:tr>
    </w:tbl>
    <w:p w14:paraId="1506A1B4" w14:textId="77777777" w:rsidR="00D67C92" w:rsidRDefault="00D67C92">
      <w:pPr>
        <w:spacing w:after="12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D67C92" w14:paraId="5AE67515" w14:textId="77777777">
        <w:tc>
          <w:tcPr>
            <w:tcW w:w="0" w:type="auto"/>
            <w:tcBorders>
              <w:top w:val="single" w:sz="4" w:space="0" w:color="4A6741"/>
              <w:left w:val="single" w:sz="24" w:space="0" w:color="4A6741"/>
              <w:bottom w:val="single" w:sz="4" w:space="0" w:color="4A6741"/>
              <w:right w:val="single" w:sz="4" w:space="0" w:color="4A6741"/>
            </w:tcBorders>
            <w:shd w:val="clear" w:color="auto" w:fill="EBF2E8"/>
            <w:tcMar>
              <w:top w:w="160" w:type="dxa"/>
              <w:left w:w="280" w:type="dxa"/>
              <w:bottom w:w="160" w:type="dxa"/>
              <w:right w:w="280" w:type="dxa"/>
            </w:tcMar>
          </w:tcPr>
          <w:p w14:paraId="3A762A9E" w14:textId="04B07EA9" w:rsidR="00D67C92" w:rsidRDefault="005773DF">
            <w:pPr>
              <w:spacing w:after="80"/>
            </w:pPr>
            <w:r>
              <w:rPr>
                <w:rFonts w:ascii="Segoe UI Emoji" w:hAnsi="Segoe UI Emoji" w:cs="Segoe UI Emoji"/>
                <w:b/>
                <w:bCs/>
                <w:color w:val="4A6741"/>
              </w:rPr>
              <w:t>📈</w:t>
            </w:r>
            <w:r>
              <w:rPr>
                <w:b/>
                <w:bCs/>
                <w:color w:val="4A6741"/>
              </w:rPr>
              <w:t xml:space="preserve"> Finding</w:t>
            </w:r>
            <w:r w:rsidR="00000000">
              <w:rPr>
                <w:b/>
                <w:bCs/>
                <w:color w:val="4A6741"/>
              </w:rPr>
              <w:t>: Portfolio Composition Analysis</w:t>
            </w:r>
          </w:p>
          <w:p w14:paraId="624DBA06" w14:textId="77777777" w:rsidR="00D67C92" w:rsidRDefault="00000000">
            <w:r>
              <w:rPr>
                <w:sz w:val="20"/>
                <w:szCs w:val="20"/>
              </w:rPr>
              <w:t>Mortgage loans dominate the portfolio at approximately 73% of total lending exposure. While mortgage lending is generally lower risk due to collateral backing, heavy concentration in a single product increases exposure to macroeconomic and interest rate risk. Diversification into SME and asset finance segments is recommended.</w:t>
            </w:r>
          </w:p>
        </w:tc>
      </w:tr>
    </w:tbl>
    <w:p w14:paraId="56269EF6" w14:textId="77777777" w:rsidR="00D67C92" w:rsidRDefault="00000000">
      <w:r>
        <w:br w:type="page"/>
      </w:r>
    </w:p>
    <w:p w14:paraId="22AD38A2" w14:textId="77777777" w:rsidR="00D67C92" w:rsidRDefault="00000000">
      <w:pPr>
        <w:pStyle w:val="Heading1"/>
      </w:pPr>
      <w:r>
        <w:lastRenderedPageBreak/>
        <w:t>BUSINESS RECOMMENDATIONS</w:t>
      </w:r>
    </w:p>
    <w:p w14:paraId="6A625C97" w14:textId="77777777" w:rsidR="00D67C92" w:rsidRDefault="00D67C92">
      <w:pPr>
        <w:pBdr>
          <w:bottom w:val="single" w:sz="12" w:space="1" w:color="C17A2F"/>
        </w:pBdr>
        <w:spacing w:before="80"/>
      </w:pPr>
    </w:p>
    <w:p w14:paraId="5A870078" w14:textId="77777777" w:rsidR="00D67C92" w:rsidRDefault="00D67C92">
      <w:pPr>
        <w:spacing w:after="1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3"/>
        <w:gridCol w:w="9337"/>
      </w:tblGrid>
      <w:tr w:rsidR="00D67C92" w14:paraId="6A4C92D3"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120" w:type="dxa"/>
              <w:left w:w="140" w:type="dxa"/>
              <w:bottom w:w="120" w:type="dxa"/>
              <w:right w:w="140" w:type="dxa"/>
            </w:tcMar>
            <w:vAlign w:val="center"/>
          </w:tcPr>
          <w:p w14:paraId="0829DFDA" w14:textId="77777777" w:rsidR="00D67C92" w:rsidRDefault="00000000">
            <w:pPr>
              <w:jc w:val="center"/>
            </w:pPr>
            <w:r>
              <w:rPr>
                <w:b/>
                <w:bCs/>
                <w:color w:val="FFFFFF"/>
                <w:sz w:val="20"/>
                <w:szCs w:val="20"/>
              </w:rPr>
              <w:t>01</w:t>
            </w:r>
          </w:p>
        </w:tc>
        <w:tc>
          <w:tcPr>
            <w:tcW w:w="0" w:type="auto"/>
            <w:tcBorders>
              <w:top w:val="none" w:sz="0" w:space="0" w:color="FFFFFF"/>
              <w:left w:val="none" w:sz="0" w:space="0" w:color="FFFFFF"/>
              <w:bottom w:val="single" w:sz="4" w:space="0" w:color="EDE0C4"/>
              <w:right w:val="none" w:sz="0" w:space="0" w:color="FFFFFF"/>
            </w:tcBorders>
            <w:shd w:val="clear" w:color="auto" w:fill="FFFDF7"/>
            <w:tcMar>
              <w:top w:w="120" w:type="dxa"/>
              <w:left w:w="200" w:type="dxa"/>
              <w:bottom w:w="120" w:type="dxa"/>
              <w:right w:w="160" w:type="dxa"/>
            </w:tcMar>
          </w:tcPr>
          <w:p w14:paraId="497D6305" w14:textId="77777777" w:rsidR="00D67C92" w:rsidRDefault="00000000">
            <w:r>
              <w:rPr>
                <w:sz w:val="20"/>
                <w:szCs w:val="20"/>
              </w:rPr>
              <w:t>Strengthen monitoring of Karen and Kisumu branches to detect early signs of credit deterioration — consider enhanced relationship manager oversight and more frequent portfolio reviews.</w:t>
            </w:r>
          </w:p>
        </w:tc>
      </w:tr>
      <w:tr w:rsidR="00D67C92" w14:paraId="34CC64C3"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120" w:type="dxa"/>
              <w:left w:w="140" w:type="dxa"/>
              <w:bottom w:w="120" w:type="dxa"/>
              <w:right w:w="140" w:type="dxa"/>
            </w:tcMar>
            <w:vAlign w:val="center"/>
          </w:tcPr>
          <w:p w14:paraId="16A9AAF5" w14:textId="77777777" w:rsidR="00D67C92" w:rsidRDefault="00000000">
            <w:pPr>
              <w:jc w:val="center"/>
            </w:pPr>
            <w:r>
              <w:rPr>
                <w:b/>
                <w:bCs/>
                <w:color w:val="FFFFFF"/>
                <w:sz w:val="20"/>
                <w:szCs w:val="20"/>
              </w:rPr>
              <w:t>02</w:t>
            </w:r>
          </w:p>
        </w:tc>
        <w:tc>
          <w:tcPr>
            <w:tcW w:w="0" w:type="auto"/>
            <w:tcBorders>
              <w:top w:val="none" w:sz="0" w:space="0" w:color="FFFFFF"/>
              <w:left w:val="none" w:sz="0" w:space="0" w:color="FFFFFF"/>
              <w:bottom w:val="single" w:sz="4" w:space="0" w:color="EDE0C4"/>
              <w:right w:val="none" w:sz="0" w:space="0" w:color="FFFFFF"/>
            </w:tcBorders>
            <w:shd w:val="clear" w:color="auto" w:fill="F5EDD8"/>
            <w:tcMar>
              <w:top w:w="120" w:type="dxa"/>
              <w:left w:w="200" w:type="dxa"/>
              <w:bottom w:w="120" w:type="dxa"/>
              <w:right w:w="160" w:type="dxa"/>
            </w:tcMar>
          </w:tcPr>
          <w:p w14:paraId="0610279D" w14:textId="77777777" w:rsidR="00D67C92" w:rsidRDefault="00000000">
            <w:r>
              <w:rPr>
                <w:sz w:val="20"/>
                <w:szCs w:val="20"/>
              </w:rPr>
              <w:t>Diversify the loan portfolio by increasing lending across SME and asset finance segments to reduce concentration in mortgage products and lower macroeconomic sensitivity.</w:t>
            </w:r>
          </w:p>
        </w:tc>
      </w:tr>
      <w:tr w:rsidR="00D67C92" w14:paraId="3B776D22"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120" w:type="dxa"/>
              <w:left w:w="140" w:type="dxa"/>
              <w:bottom w:w="120" w:type="dxa"/>
              <w:right w:w="140" w:type="dxa"/>
            </w:tcMar>
            <w:vAlign w:val="center"/>
          </w:tcPr>
          <w:p w14:paraId="2042658F" w14:textId="77777777" w:rsidR="00D67C92" w:rsidRDefault="00000000">
            <w:pPr>
              <w:jc w:val="center"/>
            </w:pPr>
            <w:r>
              <w:rPr>
                <w:b/>
                <w:bCs/>
                <w:color w:val="FFFFFF"/>
                <w:sz w:val="20"/>
                <w:szCs w:val="20"/>
              </w:rPr>
              <w:t>03</w:t>
            </w:r>
          </w:p>
        </w:tc>
        <w:tc>
          <w:tcPr>
            <w:tcW w:w="0" w:type="auto"/>
            <w:tcBorders>
              <w:top w:val="none" w:sz="0" w:space="0" w:color="FFFFFF"/>
              <w:left w:val="none" w:sz="0" w:space="0" w:color="FFFFFF"/>
              <w:bottom w:val="single" w:sz="4" w:space="0" w:color="EDE0C4"/>
              <w:right w:val="none" w:sz="0" w:space="0" w:color="FFFFFF"/>
            </w:tcBorders>
            <w:shd w:val="clear" w:color="auto" w:fill="FFFDF7"/>
            <w:tcMar>
              <w:top w:w="120" w:type="dxa"/>
              <w:left w:w="200" w:type="dxa"/>
              <w:bottom w:w="120" w:type="dxa"/>
              <w:right w:w="160" w:type="dxa"/>
            </w:tcMar>
          </w:tcPr>
          <w:p w14:paraId="2E3ED4D3" w14:textId="1A0E1D9A" w:rsidR="00D67C92" w:rsidRDefault="00000000">
            <w:r>
              <w:rPr>
                <w:sz w:val="20"/>
                <w:szCs w:val="20"/>
              </w:rPr>
              <w:t xml:space="preserve">Implement early-warning monitoring systems to identify borrowers transitioning into watchlist or delinquency status before defaults </w:t>
            </w:r>
            <w:r w:rsidR="005773DF">
              <w:rPr>
                <w:sz w:val="20"/>
                <w:szCs w:val="20"/>
              </w:rPr>
              <w:t>materialize</w:t>
            </w:r>
            <w:r>
              <w:rPr>
                <w:sz w:val="20"/>
                <w:szCs w:val="20"/>
              </w:rPr>
              <w:t>.</w:t>
            </w:r>
          </w:p>
        </w:tc>
      </w:tr>
      <w:tr w:rsidR="00D67C92" w14:paraId="3882E07F"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120" w:type="dxa"/>
              <w:left w:w="140" w:type="dxa"/>
              <w:bottom w:w="120" w:type="dxa"/>
              <w:right w:w="140" w:type="dxa"/>
            </w:tcMar>
            <w:vAlign w:val="center"/>
          </w:tcPr>
          <w:p w14:paraId="6FA279F4" w14:textId="77777777" w:rsidR="00D67C92" w:rsidRDefault="00000000">
            <w:pPr>
              <w:jc w:val="center"/>
            </w:pPr>
            <w:r>
              <w:rPr>
                <w:b/>
                <w:bCs/>
                <w:color w:val="FFFFFF"/>
                <w:sz w:val="20"/>
                <w:szCs w:val="20"/>
              </w:rPr>
              <w:t>04</w:t>
            </w:r>
          </w:p>
        </w:tc>
        <w:tc>
          <w:tcPr>
            <w:tcW w:w="0" w:type="auto"/>
            <w:tcBorders>
              <w:top w:val="none" w:sz="0" w:space="0" w:color="FFFFFF"/>
              <w:left w:val="none" w:sz="0" w:space="0" w:color="FFFFFF"/>
              <w:bottom w:val="single" w:sz="4" w:space="0" w:color="EDE0C4"/>
              <w:right w:val="none" w:sz="0" w:space="0" w:color="FFFFFF"/>
            </w:tcBorders>
            <w:shd w:val="clear" w:color="auto" w:fill="F5EDD8"/>
            <w:tcMar>
              <w:top w:w="120" w:type="dxa"/>
              <w:left w:w="200" w:type="dxa"/>
              <w:bottom w:w="120" w:type="dxa"/>
              <w:right w:w="160" w:type="dxa"/>
            </w:tcMar>
          </w:tcPr>
          <w:p w14:paraId="472D8638" w14:textId="4A8BA341" w:rsidR="00D67C92" w:rsidRDefault="00000000">
            <w:r>
              <w:rPr>
                <w:sz w:val="20"/>
                <w:szCs w:val="20"/>
              </w:rPr>
              <w:t>Regularly evaluate collateral coverage ratios across the portfolio to ensure loan exposures remain adequately secured, particularly for under-</w:t>
            </w:r>
            <w:r w:rsidR="005773DF">
              <w:rPr>
                <w:sz w:val="20"/>
                <w:szCs w:val="20"/>
              </w:rPr>
              <w:t>collateralized</w:t>
            </w:r>
            <w:r>
              <w:rPr>
                <w:sz w:val="20"/>
                <w:szCs w:val="20"/>
              </w:rPr>
              <w:t xml:space="preserve"> facilities.</w:t>
            </w:r>
          </w:p>
        </w:tc>
      </w:tr>
      <w:tr w:rsidR="00D67C92" w14:paraId="157CB0E4"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120" w:type="dxa"/>
              <w:left w:w="140" w:type="dxa"/>
              <w:bottom w:w="120" w:type="dxa"/>
              <w:right w:w="140" w:type="dxa"/>
            </w:tcMar>
            <w:vAlign w:val="center"/>
          </w:tcPr>
          <w:p w14:paraId="0FEB2CED" w14:textId="77777777" w:rsidR="00D67C92" w:rsidRDefault="00000000">
            <w:pPr>
              <w:jc w:val="center"/>
            </w:pPr>
            <w:r>
              <w:rPr>
                <w:b/>
                <w:bCs/>
                <w:color w:val="FFFFFF"/>
                <w:sz w:val="20"/>
                <w:szCs w:val="20"/>
              </w:rPr>
              <w:t>05</w:t>
            </w:r>
          </w:p>
        </w:tc>
        <w:tc>
          <w:tcPr>
            <w:tcW w:w="0" w:type="auto"/>
            <w:tcBorders>
              <w:top w:val="none" w:sz="0" w:space="0" w:color="FFFFFF"/>
              <w:left w:val="none" w:sz="0" w:space="0" w:color="FFFFFF"/>
              <w:bottom w:val="single" w:sz="4" w:space="0" w:color="EDE0C4"/>
              <w:right w:val="none" w:sz="0" w:space="0" w:color="FFFFFF"/>
            </w:tcBorders>
            <w:shd w:val="clear" w:color="auto" w:fill="FFFDF7"/>
            <w:tcMar>
              <w:top w:w="120" w:type="dxa"/>
              <w:left w:w="200" w:type="dxa"/>
              <w:bottom w:w="120" w:type="dxa"/>
              <w:right w:w="160" w:type="dxa"/>
            </w:tcMar>
          </w:tcPr>
          <w:p w14:paraId="4C2729D5" w14:textId="77777777" w:rsidR="00D67C92" w:rsidRDefault="00000000">
            <w:r>
              <w:rPr>
                <w:sz w:val="20"/>
                <w:szCs w:val="20"/>
              </w:rPr>
              <w:t>Use interactive Excel dashboards and portfolio analytics as part of continuous monitoring — embedding structured analytical tools into the credit risk management cycle.</w:t>
            </w:r>
          </w:p>
        </w:tc>
      </w:tr>
    </w:tbl>
    <w:p w14:paraId="6B9ACC81" w14:textId="77777777" w:rsidR="00D67C92" w:rsidRDefault="00D67C92">
      <w:pPr>
        <w:spacing w:after="220"/>
      </w:pPr>
    </w:p>
    <w:p w14:paraId="2CA45B1D" w14:textId="77777777" w:rsidR="00D67C92" w:rsidRDefault="00000000">
      <w:pPr>
        <w:pStyle w:val="Heading1"/>
      </w:pPr>
      <w:r>
        <w:t>CONCLUSION</w:t>
      </w:r>
    </w:p>
    <w:p w14:paraId="384830E4" w14:textId="77777777" w:rsidR="00D67C92" w:rsidRDefault="00D67C92">
      <w:pPr>
        <w:pBdr>
          <w:bottom w:val="single" w:sz="12" w:space="1" w:color="C17A2F"/>
        </w:pBdr>
        <w:spacing w:before="80"/>
      </w:pPr>
    </w:p>
    <w:p w14:paraId="44886E00" w14:textId="77777777" w:rsidR="00D67C92" w:rsidRDefault="00D67C92">
      <w:pPr>
        <w:spacing w:after="1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D67C92" w14:paraId="4F6638E5" w14:textId="77777777">
        <w:tc>
          <w:tcPr>
            <w:tcW w:w="0" w:type="auto"/>
            <w:tcBorders>
              <w:top w:val="none" w:sz="0" w:space="0" w:color="FFFFFF"/>
              <w:left w:val="single" w:sz="28" w:space="0" w:color="C17A2F"/>
              <w:bottom w:val="single" w:sz="12" w:space="0" w:color="C17A2F"/>
              <w:right w:val="none" w:sz="0" w:space="0" w:color="FFFFFF"/>
            </w:tcBorders>
            <w:shd w:val="clear" w:color="auto" w:fill="F5EDD8"/>
            <w:tcMar>
              <w:top w:w="220" w:type="dxa"/>
              <w:left w:w="300" w:type="dxa"/>
              <w:bottom w:w="220" w:type="dxa"/>
              <w:right w:w="300" w:type="dxa"/>
            </w:tcMar>
          </w:tcPr>
          <w:p w14:paraId="40F0C14E" w14:textId="080D7172" w:rsidR="00D67C92" w:rsidRDefault="00000000">
            <w:pPr>
              <w:spacing w:after="120"/>
            </w:pPr>
            <w:r>
              <w:rPr>
                <w:b/>
                <w:bCs/>
                <w:color w:val="4E2A04"/>
              </w:rPr>
              <w:t xml:space="preserve">This project demonstrates how advanced Excel modelling can be applied to </w:t>
            </w:r>
            <w:r w:rsidR="005773DF">
              <w:rPr>
                <w:b/>
                <w:bCs/>
                <w:color w:val="4E2A04"/>
              </w:rPr>
              <w:t>analyze</w:t>
            </w:r>
            <w:r>
              <w:rPr>
                <w:b/>
                <w:bCs/>
                <w:color w:val="4E2A04"/>
              </w:rPr>
              <w:t xml:space="preserve"> loan portfolio performance and credit risk exposure.</w:t>
            </w:r>
          </w:p>
          <w:p w14:paraId="6F3495DD" w14:textId="708B67E6" w:rsidR="00D67C92" w:rsidRDefault="00000000">
            <w:r>
              <w:rPr>
                <w:sz w:val="20"/>
                <w:szCs w:val="20"/>
              </w:rPr>
              <w:t xml:space="preserve">By combining structured datasets, analytical formulas (SUMIFS, XLOOKUP, SUMPRODUCT, CASE logic), pivot tables, and dashboard </w:t>
            </w:r>
            <w:r w:rsidR="005773DF">
              <w:rPr>
                <w:sz w:val="20"/>
                <w:szCs w:val="20"/>
              </w:rPr>
              <w:t>visualizations</w:t>
            </w:r>
            <w:r>
              <w:rPr>
                <w:sz w:val="20"/>
                <w:szCs w:val="20"/>
              </w:rPr>
              <w:t>, the model provides a comprehensive framework for monitoring lending activity and identifying potential risk concentrations. The approach illustrates how Excel can serve as a powerful analytical tool for financial institutions</w:t>
            </w:r>
            <w:r w:rsidR="005773DF">
              <w:rPr>
                <w:sz w:val="20"/>
                <w:szCs w:val="20"/>
              </w:rPr>
              <w:t xml:space="preserve">, </w:t>
            </w:r>
            <w:r>
              <w:rPr>
                <w:sz w:val="20"/>
                <w:szCs w:val="20"/>
              </w:rPr>
              <w:t>enabling data-driven decision-making in credit risk management and portfolio oversight without requiring dedicated database infrastructure.</w:t>
            </w:r>
          </w:p>
        </w:tc>
      </w:tr>
    </w:tbl>
    <w:p w14:paraId="1FA17B8A" w14:textId="77777777" w:rsidR="00D67C92" w:rsidRDefault="00D67C92">
      <w:pPr>
        <w:spacing w:after="80"/>
      </w:pPr>
    </w:p>
    <w:sectPr w:rsidR="00D67C92">
      <w:headerReference w:type="default" r:id="rId7"/>
      <w:footerReference w:type="default" r:id="rId8"/>
      <w:pgSz w:w="12240" w:h="15840"/>
      <w:pgMar w:top="1100" w:right="1200" w:bottom="11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F0F4" w14:textId="77777777" w:rsidR="007350E1" w:rsidRDefault="007350E1">
      <w:r>
        <w:separator/>
      </w:r>
    </w:p>
  </w:endnote>
  <w:endnote w:type="continuationSeparator" w:id="0">
    <w:p w14:paraId="03DD71A4" w14:textId="77777777" w:rsidR="007350E1" w:rsidRDefault="0073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5F98" w14:textId="70A91528" w:rsidR="00D67C92" w:rsidRDefault="00000000">
    <w:pPr>
      <w:pBdr>
        <w:top w:val="single" w:sz="6" w:space="6" w:color="EDE0C4"/>
      </w:pBdr>
      <w:tabs>
        <w:tab w:val="right" w:pos="9026"/>
      </w:tabs>
      <w:spacing w:before="80"/>
    </w:pPr>
    <w:r>
      <w:rPr>
        <w:color w:val="6B7280"/>
        <w:sz w:val="16"/>
        <w:szCs w:val="16"/>
      </w:rPr>
      <w:t xml:space="preserve">Confidential — Internal Use </w:t>
    </w:r>
    <w:r w:rsidR="005773DF">
      <w:rPr>
        <w:color w:val="6B7280"/>
        <w:sz w:val="16"/>
        <w:szCs w:val="16"/>
      </w:rPr>
      <w:t xml:space="preserve">Only </w:t>
    </w:r>
    <w:r w:rsidR="005773DF">
      <w:rPr>
        <w:color w:val="6B7280"/>
        <w:sz w:val="16"/>
        <w:szCs w:val="16"/>
      </w:rPr>
      <w:t>| Tools</w:t>
    </w:r>
    <w:r>
      <w:rPr>
        <w:color w:val="6B7280"/>
        <w:sz w:val="16"/>
        <w:szCs w:val="16"/>
      </w:rPr>
      <w:t>: Microsoft Excel</w:t>
    </w:r>
    <w:r>
      <w:rPr>
        <w:color w:val="6B7280"/>
        <w:sz w:val="16"/>
        <w:szCs w:val="16"/>
      </w:rPr>
      <w:tab/>
      <w:t>Credit Risk &amp; Portfolio Analytics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B03A" w14:textId="77777777" w:rsidR="007350E1" w:rsidRDefault="007350E1">
      <w:r>
        <w:separator/>
      </w:r>
    </w:p>
  </w:footnote>
  <w:footnote w:type="continuationSeparator" w:id="0">
    <w:p w14:paraId="732040F5" w14:textId="77777777" w:rsidR="007350E1" w:rsidRDefault="0073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
      <w:gridCol w:w="6758"/>
      <w:gridCol w:w="3075"/>
    </w:tblGrid>
    <w:tr w:rsidR="00D67C92" w14:paraId="23E8A050" w14:textId="77777777">
      <w:tc>
        <w:tcPr>
          <w:tcW w:w="0" w:type="auto"/>
          <w:tcBorders>
            <w:top w:val="none" w:sz="0" w:space="0" w:color="FFFFFF"/>
            <w:left w:val="none" w:sz="0" w:space="0" w:color="FFFFFF"/>
            <w:bottom w:val="none" w:sz="0" w:space="0" w:color="FFFFFF"/>
            <w:right w:val="none" w:sz="0" w:space="0" w:color="FFFFFF"/>
          </w:tcBorders>
          <w:shd w:val="clear" w:color="auto" w:fill="C17A2F"/>
          <w:tcMar>
            <w:top w:w="0" w:type="dxa"/>
            <w:left w:w="0" w:type="dxa"/>
            <w:bottom w:w="0" w:type="dxa"/>
            <w:right w:w="0" w:type="dxa"/>
          </w:tcMar>
        </w:tcPr>
        <w:p w14:paraId="67358B3D" w14:textId="77777777" w:rsidR="00D67C92" w:rsidRDefault="00D67C92"/>
      </w:tc>
      <w:tc>
        <w:tcPr>
          <w:tcW w:w="0" w:type="auto"/>
          <w:tcBorders>
            <w:top w:val="none" w:sz="0" w:space="0" w:color="FFFFFF"/>
            <w:left w:val="none" w:sz="0" w:space="0" w:color="FFFFFF"/>
            <w:bottom w:val="none" w:sz="0" w:space="0" w:color="FFFFFF"/>
            <w:right w:val="none" w:sz="0" w:space="0" w:color="FFFFFF"/>
          </w:tcBorders>
          <w:shd w:val="clear" w:color="auto" w:fill="2D1B0E"/>
          <w:tcMar>
            <w:top w:w="80" w:type="dxa"/>
            <w:left w:w="200" w:type="dxa"/>
            <w:bottom w:w="80" w:type="dxa"/>
            <w:right w:w="200" w:type="dxa"/>
          </w:tcMar>
        </w:tcPr>
        <w:p w14:paraId="0C2B9D99" w14:textId="77777777" w:rsidR="00D67C92" w:rsidRDefault="00000000">
          <w:r>
            <w:rPr>
              <w:b/>
              <w:bCs/>
              <w:color w:val="FDF3DC"/>
              <w:sz w:val="19"/>
              <w:szCs w:val="19"/>
            </w:rPr>
            <w:t>Retail Banking Loan Portfolio Risk &amp; Performance Analysis</w:t>
          </w:r>
        </w:p>
      </w:tc>
      <w:tc>
        <w:tcPr>
          <w:tcW w:w="0" w:type="auto"/>
          <w:tcBorders>
            <w:top w:val="none" w:sz="0" w:space="0" w:color="FFFFFF"/>
            <w:left w:val="none" w:sz="0" w:space="0" w:color="FFFFFF"/>
            <w:bottom w:val="none" w:sz="0" w:space="0" w:color="FFFFFF"/>
            <w:right w:val="none" w:sz="0" w:space="0" w:color="FFFFFF"/>
          </w:tcBorders>
          <w:shd w:val="clear" w:color="auto" w:fill="4E2A04"/>
          <w:tcMar>
            <w:top w:w="80" w:type="dxa"/>
            <w:left w:w="200" w:type="dxa"/>
            <w:bottom w:w="80" w:type="dxa"/>
            <w:right w:w="200" w:type="dxa"/>
          </w:tcMar>
          <w:vAlign w:val="center"/>
        </w:tcPr>
        <w:p w14:paraId="0049A26B" w14:textId="2CEB854F" w:rsidR="00D67C92" w:rsidRDefault="00000000">
          <w:pPr>
            <w:jc w:val="right"/>
          </w:pPr>
          <w:r>
            <w:rPr>
              <w:color w:val="EDE0C4"/>
              <w:sz w:val="17"/>
              <w:szCs w:val="17"/>
            </w:rPr>
            <w:t xml:space="preserve">Excel </w:t>
          </w:r>
          <w:r w:rsidR="005773DF">
            <w:rPr>
              <w:color w:val="EDE0C4"/>
              <w:sz w:val="17"/>
              <w:szCs w:val="17"/>
            </w:rPr>
            <w:t>Model | Moreen</w:t>
          </w:r>
          <w:r>
            <w:rPr>
              <w:color w:val="EDE0C4"/>
              <w:sz w:val="17"/>
              <w:szCs w:val="17"/>
            </w:rPr>
            <w:t xml:space="preserve"> Gatwiri</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750C"/>
    <w:multiLevelType w:val="hybridMultilevel"/>
    <w:tmpl w:val="5232B2E4"/>
    <w:lvl w:ilvl="0" w:tplc="8388828A">
      <w:start w:val="1"/>
      <w:numFmt w:val="bullet"/>
      <w:lvlText w:val="◆"/>
      <w:lvlJc w:val="left"/>
      <w:pPr>
        <w:ind w:left="720" w:hanging="360"/>
      </w:pPr>
      <w:rPr>
        <w:color w:val="C17A2F"/>
        <w:sz w:val="16"/>
        <w:szCs w:val="16"/>
      </w:rPr>
    </w:lvl>
    <w:lvl w:ilvl="1" w:tplc="50B23980">
      <w:numFmt w:val="decimal"/>
      <w:lvlText w:val=""/>
      <w:lvlJc w:val="left"/>
    </w:lvl>
    <w:lvl w:ilvl="2" w:tplc="4EC0B22C">
      <w:numFmt w:val="decimal"/>
      <w:lvlText w:val=""/>
      <w:lvlJc w:val="left"/>
    </w:lvl>
    <w:lvl w:ilvl="3" w:tplc="CE60EBAA">
      <w:numFmt w:val="decimal"/>
      <w:lvlText w:val=""/>
      <w:lvlJc w:val="left"/>
    </w:lvl>
    <w:lvl w:ilvl="4" w:tplc="86E43764">
      <w:numFmt w:val="decimal"/>
      <w:lvlText w:val=""/>
      <w:lvlJc w:val="left"/>
    </w:lvl>
    <w:lvl w:ilvl="5" w:tplc="5E3C86CA">
      <w:numFmt w:val="decimal"/>
      <w:lvlText w:val=""/>
      <w:lvlJc w:val="left"/>
    </w:lvl>
    <w:lvl w:ilvl="6" w:tplc="713A4EAE">
      <w:numFmt w:val="decimal"/>
      <w:lvlText w:val=""/>
      <w:lvlJc w:val="left"/>
    </w:lvl>
    <w:lvl w:ilvl="7" w:tplc="F684CEC4">
      <w:numFmt w:val="decimal"/>
      <w:lvlText w:val=""/>
      <w:lvlJc w:val="left"/>
    </w:lvl>
    <w:lvl w:ilvl="8" w:tplc="E5DCC40C">
      <w:numFmt w:val="decimal"/>
      <w:lvlText w:val=""/>
      <w:lvlJc w:val="left"/>
    </w:lvl>
  </w:abstractNum>
  <w:abstractNum w:abstractNumId="1" w15:restartNumberingAfterBreak="0">
    <w:nsid w:val="37EF0B56"/>
    <w:multiLevelType w:val="hybridMultilevel"/>
    <w:tmpl w:val="3C447B4C"/>
    <w:lvl w:ilvl="0" w:tplc="B5368E2E">
      <w:start w:val="1"/>
      <w:numFmt w:val="bullet"/>
      <w:lvlText w:val="●"/>
      <w:lvlJc w:val="left"/>
      <w:pPr>
        <w:ind w:left="720" w:hanging="360"/>
      </w:pPr>
    </w:lvl>
    <w:lvl w:ilvl="1" w:tplc="EA28A694">
      <w:start w:val="1"/>
      <w:numFmt w:val="bullet"/>
      <w:lvlText w:val="○"/>
      <w:lvlJc w:val="left"/>
      <w:pPr>
        <w:ind w:left="1440" w:hanging="360"/>
      </w:pPr>
    </w:lvl>
    <w:lvl w:ilvl="2" w:tplc="E4CCF6C4">
      <w:start w:val="1"/>
      <w:numFmt w:val="bullet"/>
      <w:lvlText w:val="■"/>
      <w:lvlJc w:val="left"/>
      <w:pPr>
        <w:ind w:left="2160" w:hanging="360"/>
      </w:pPr>
    </w:lvl>
    <w:lvl w:ilvl="3" w:tplc="7E54E6F2">
      <w:start w:val="1"/>
      <w:numFmt w:val="bullet"/>
      <w:lvlText w:val="●"/>
      <w:lvlJc w:val="left"/>
      <w:pPr>
        <w:ind w:left="2880" w:hanging="360"/>
      </w:pPr>
    </w:lvl>
    <w:lvl w:ilvl="4" w:tplc="5EA8EA94">
      <w:start w:val="1"/>
      <w:numFmt w:val="bullet"/>
      <w:lvlText w:val="○"/>
      <w:lvlJc w:val="left"/>
      <w:pPr>
        <w:ind w:left="3600" w:hanging="360"/>
      </w:pPr>
    </w:lvl>
    <w:lvl w:ilvl="5" w:tplc="ECBEF08A">
      <w:start w:val="1"/>
      <w:numFmt w:val="bullet"/>
      <w:lvlText w:val="■"/>
      <w:lvlJc w:val="left"/>
      <w:pPr>
        <w:ind w:left="4320" w:hanging="360"/>
      </w:pPr>
    </w:lvl>
    <w:lvl w:ilvl="6" w:tplc="6CC40EA4">
      <w:start w:val="1"/>
      <w:numFmt w:val="bullet"/>
      <w:lvlText w:val="●"/>
      <w:lvlJc w:val="left"/>
      <w:pPr>
        <w:ind w:left="5040" w:hanging="360"/>
      </w:pPr>
    </w:lvl>
    <w:lvl w:ilvl="7" w:tplc="198EBAB4">
      <w:start w:val="1"/>
      <w:numFmt w:val="bullet"/>
      <w:lvlText w:val="●"/>
      <w:lvlJc w:val="left"/>
      <w:pPr>
        <w:ind w:left="5760" w:hanging="360"/>
      </w:pPr>
    </w:lvl>
    <w:lvl w:ilvl="8" w:tplc="1AD01176">
      <w:start w:val="1"/>
      <w:numFmt w:val="bullet"/>
      <w:lvlText w:val="●"/>
      <w:lvlJc w:val="left"/>
      <w:pPr>
        <w:ind w:left="6480" w:hanging="360"/>
      </w:pPr>
    </w:lvl>
  </w:abstractNum>
  <w:num w:numId="1" w16cid:durableId="1457867089">
    <w:abstractNumId w:val="1"/>
    <w:lvlOverride w:ilvl="0">
      <w:startOverride w:val="1"/>
    </w:lvlOverride>
  </w:num>
  <w:num w:numId="2" w16cid:durableId="192618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92"/>
    <w:rsid w:val="00350FF3"/>
    <w:rsid w:val="005773DF"/>
    <w:rsid w:val="006A619B"/>
    <w:rsid w:val="007350E1"/>
    <w:rsid w:val="00BF41AC"/>
    <w:rsid w:val="00D67C92"/>
    <w:rsid w:val="00DF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CC39"/>
  <w15:docId w15:val="{B486B8B0-EC95-48DF-B7D1-BCE99381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208"/>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40"/>
      <w:outlineLvl w:val="0"/>
    </w:pPr>
    <w:rPr>
      <w:b/>
      <w:bCs/>
      <w:color w:val="2D1B0E"/>
      <w:sz w:val="32"/>
      <w:szCs w:val="32"/>
    </w:rPr>
  </w:style>
  <w:style w:type="paragraph" w:styleId="Heading2">
    <w:name w:val="heading 2"/>
    <w:uiPriority w:val="9"/>
    <w:semiHidden/>
    <w:unhideWhenUsed/>
    <w:qFormat/>
    <w:pPr>
      <w:spacing w:before="200" w:after="100"/>
      <w:outlineLvl w:val="1"/>
    </w:pPr>
    <w:rPr>
      <w:b/>
      <w:bCs/>
      <w:color w:val="4E2A0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Moreen Gatwiri</cp:lastModifiedBy>
  <cp:revision>3</cp:revision>
  <dcterms:created xsi:type="dcterms:W3CDTF">2026-03-15T09:46:00Z</dcterms:created>
  <dcterms:modified xsi:type="dcterms:W3CDTF">2026-03-21T05:36:00Z</dcterms:modified>
</cp:coreProperties>
</file>